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100" w:after="320"/>
      </w:pPr>
      <w:r>
        <w:rPr>
          <w:rFonts w:ascii="Aptos Display" w:hAnsi="Aptos Display"/>
          <w:b/>
          <w:color w:val="17324D"/>
          <w:sz w:val="68"/>
        </w:rPr>
        <w:t>KIRJASTOKORTILLA</w:t>
        <w:br/>
        <w:t>TEKOÄLYÄ</w:t>
      </w:r>
    </w:p>
    <w:p>
      <w:pPr>
        <w:spacing w:before="40" w:after="160"/>
        <w:pBdr>
          <w:bottom w:val="single" w:sz="20" w:space="1" w:color="087E8B"/>
        </w:pBdr>
      </w:pPr>
    </w:p>
    <w:p>
      <w:pPr>
        <w:pStyle w:val="Subtitle"/>
        <w:spacing w:after="400"/>
      </w:pPr>
      <w:r>
        <w:t>Suvereniteettiin perustuva kansallinen AI-kapasiteettipilotti</w:t>
      </w:r>
    </w:p>
    <w:p>
      <w:pPr>
        <w:pStyle w:val="Lead"/>
      </w:pPr>
      <w:r>
        <w:rPr>
          <w:b/>
        </w:rPr>
        <w:t>Whitepaper-luonnos</w:t>
      </w:r>
    </w:p>
    <w:p>
      <w:pPr>
        <w:pStyle w:val="Small"/>
      </w:pPr>
      <w:r>
        <w:t>2.10.2026</w:t>
      </w:r>
    </w:p>
    <w:p>
      <w:pPr>
        <w:spacing w:before="800"/>
      </w:pPr>
      <w:r>
        <w:rPr>
          <w:b/>
          <w:color w:val="087E8B"/>
          <w:sz w:val="24"/>
        </w:rPr>
        <w:t>Ydinajatus</w:t>
      </w:r>
    </w:p>
    <w:p>
      <w:pPr>
        <w:pStyle w:val="Lead"/>
      </w:pPr>
      <w:r>
        <w:t>Jokaiselle kansalaiselle mahdollisuus käyttää turvallista, Suomessa tai eurooppalaisessa suvereniteettikehyksessä ajettavaa tekoälykapasiteettia kirjastokortilla. Ensimmäinen pilotti voidaan toteuttaa hyvin kevyesti: kirjastokortin haltija saa aktivoitavan API-avaimen, endpointin ja käyttökiintiön. Sen päälle voidaan rakentaa myöhemmin valmiita palveluita, koulutusta ja uusia käyttötapoja.</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Periaate</w:t>
            </w:r>
          </w:p>
          <w:p>
            <w:pPr>
              <w:pStyle w:val="Callout"/>
            </w:pPr>
            <w:r>
              <w:t>Ensin pääsy kapasiteettiin. Sitten oppiminen, palvelut, koulutus ja skaalaus. Pilotin tarkoitus ei ole ratkaista kaikkea etukäteen vaan tehdä ensimmäinen toimiva versio nopeasti ja oppia todellisesta käytöstä.</w:t>
            </w:r>
          </w:p>
        </w:tc>
      </w:tr>
    </w:tbl>
    <w:p>
      <w:pPr>
        <w:spacing w:after="0"/>
      </w:pPr>
    </w:p>
    <w:p>
      <w:r>
        <w:br w:type="page"/>
      </w:r>
    </w:p>
    <w:p>
      <w:pPr>
        <w:pStyle w:val="Heading1"/>
      </w:pPr>
      <w:r>
        <w:t>Tiivistelmä</w:t>
      </w:r>
    </w:p>
    <w:p>
      <w:pPr>
        <w:pStyle w:val="Lead"/>
      </w:pPr>
      <w:r>
        <w:t>Tekoälyosaamista ei voi rakentaa pelkästään kouluttamalla ihmisiä tekoälystä. Tekoälyä on opittava käyttämällä. Tämä tekee pääsystä laskentakapasiteettiin, malleihin ja käytännön työkaluihin uudenlaisen kansalaistaidon infrastruktuurikysymyksen.</w:t>
      </w:r>
    </w:p>
    <w:p>
      <w:r>
        <w:t>Tämän whitepaperin ehdotus on yksinkertainen: Suomessa käynnistetään nopeasti kokeilu, jossa yleisen kirjaston asiakas saa kirjastokortilla käyttöönsä tekoälykapasiteettia. Ensimmäisessä vaiheessa kapasiteetti voidaan tarjota API-avaimena ja endpointina avoimille tai avoimesti lisensoiduille tekoälymalleille. Myöhemmin rinnalle voidaan tarjota valmiimpi selain- tai sovelluspohjainen palvelu.</w:t>
      </w:r>
    </w:p>
    <w:p>
      <w:r>
        <w:t>Kirjasto on tähän poikkeuksellisen luonteva jakelukanava. Suomen yleisten kirjastojen lakisääteisiin tavoitteisiin kuuluvat yhdenvertaiset mahdollisuudet sivistykseen, tiedon saatavuus, elinikäinen oppiminen ja osaamisen kehittäminen. Kirjastot tarjoavat jo tietokoneita, ohjelmistoja, digitaalisia aineistoja, laitteita, neuvontaa ja tiloja. AI-kapasiteetti on tästä näkökulmasta uusi digitaalinen käyttöresurssi, ei täysin uusi instituutio.</w:t>
      </w:r>
    </w:p>
    <w:p>
      <w:r>
        <w:t>Suvereniteetin näkökulmasta tavoite on, että kapasiteettia ei tarvitse saada vain globaalien kuluttajapalveluiden kautta. Suomessa on poikkeuksellinen lähtöasema Kajaanin LUMI-infrastruktuurin ja kehittyvän LUMI AI Factory -kokonaisuuden ansiosta. Whitepaper ei oleta, että nykyinen LUMI-palvelumalli voidaan sellaisenaan avata kansalaisille. Sen sijaan se ehdottaa, että CSC/LUMI-ekosysteemi arvioi ja mahdollisuuksien mukaan toteuttaa palvelun teknisen kapasiteetti- ja operointikerroksen, tai että toteutus hankitaan palveluna tavalla, jossa ratkaisu, käyttöoikeudet ja jatkokehitys eivät lukkiudu yhteen yksityiseen toimittajaan.</w:t>
      </w:r>
    </w:p>
    <w:p>
      <w:r>
        <w:t>Pilotti kannattaa suunnitella samalla kansalliseksi oppimisjärjestelmäksi. Henkilökohtaisia promptteja, sisältöjä tai yksilön toimintaa ei tarvitse kerätä. Sen sijaan anonymisoitua ja aggregoitua käyttödataa voidaan hyödyntää siihen, että nähdään missä päin Suomea kapasiteettia käytetään, kuinka paljon sitä käytetään, millaisiin yleisiin käyttökategorioihin käyttö kohdistuu ja missä tarvitaan lisää koulutusta tai kapasiteettia. Laajemman vapaaehtoisen tilastotiedon jakamisesta voidaan tarjota suurempi käyttökiintiö, kunhan malli suunnitellaan yksityisyyttä kunnioittavasti.</w:t>
      </w:r>
    </w:p>
    <w:p>
      <w:r>
        <w:t>Taloudellinen näkökulma on myös olennainen. AI-palveluiden kasvava käyttö siirtää tällä hetkellä yhä enemmän suomalaisen kulutuksen ja yritysten rahavirtoja ulkomaisille palveluntarjoajille. Tavoitteena ei ole lopettaa globaaleja palveluita eikä asettaa kansallista vaihtoehtoa niitä vastaan. Tarkoitus on synnyttää kotimainen ja eurooppalainen vaihtoehto, jonka kautta osa käytöstä, osaamisen kasvusta, infrastruktuurista ja taloudellisesta arvosta voi jäädä Suomeen ja Eurooppaan.</w:t>
      </w:r>
    </w:p>
    <w:p>
      <w:r>
        <w:t>Toteutus kannattaa käynnistää rinnakkaisilla piloteilla tai pilotointineuvotteluilla useassa kaupungissa. Jo yksi kirjasto tai kirjastokimppa riittää aloittamaan. Samalla voidaan avata reittejä esimerkiksi Kajaanin, Oulun, Joensuun, pääkaupunkiseudun, Turun ja Tampereen suuntaan. Ensimmäinen toteuttamiskelpoinen kumppanuus voidaan viedä tuotantoon ja muut voivat seurata nopeasti perässä.</w:t>
      </w:r>
    </w:p>
    <w:tbl>
      <w:tblPr>
        <w:tblW w:type="auto" w:w="0"/>
        <w:jc w:val="center"/>
        <w:tblLayout w:type="fixed"/>
        <w:tblLook w:firstColumn="1" w:firstRow="1" w:lastColumn="0" w:lastRow="0" w:noHBand="0" w:noVBand="1" w:val="04A0"/>
      </w:tblPr>
      <w:tblGrid>
        <w:gridCol w:w="10166"/>
      </w:tblGrid>
      <w:tr>
        <w:tc>
          <w:tcPr>
            <w:tcW w:type="dxa" w:w="9936"/>
            <w:shd w:fill="EEF6F0"/>
            <w:tcMar>
              <w:top w:w="150" w:type="dxa"/>
              <w:start w:w="180" w:type="dxa"/>
              <w:bottom w:w="150" w:type="dxa"/>
              <w:end w:w="180" w:type="dxa"/>
            </w:tcMar>
          </w:tcPr>
          <w:p>
            <w:pPr>
              <w:spacing w:after="60"/>
            </w:pPr>
            <w:r>
              <w:rPr>
                <w:b/>
                <w:color w:val="357A4B"/>
                <w:sz w:val="22"/>
              </w:rPr>
              <w:t>Tavoite 90 päivässä</w:t>
            </w:r>
          </w:p>
          <w:p>
            <w:pPr>
              <w:pStyle w:val="Callout"/>
            </w:pPr>
            <w:r>
              <w:t>Päätös pilotista, tekninen minimipalvelu, ensimmäinen kirjastokortilla aktivoitava AI-kapasiteetti ja julkinen kansallinen sekä kansainvälinen viestintä. Kaiken muun voi rakentaa tämän jälkeen käytöstä oppien.</w:t>
            </w:r>
          </w:p>
        </w:tc>
      </w:tr>
    </w:tbl>
    <w:p>
      <w:pPr>
        <w:spacing w:after="0"/>
      </w:pPr>
    </w:p>
    <w:p>
      <w:r>
        <w:br w:type="page"/>
      </w:r>
    </w:p>
    <w:p>
      <w:pPr>
        <w:pStyle w:val="Heading1"/>
      </w:pPr>
      <w:r>
        <w:t>Sisältö</w:t>
      </w:r>
    </w:p>
    <w:p>
      <w:pPr>
        <w:spacing w:after="40"/>
      </w:pPr>
      <w:r>
        <w:rPr>
          <w:b/>
          <w:color w:val="087E8B"/>
        </w:rPr>
        <w:t xml:space="preserve">1. </w:t>
      </w:r>
      <w:r>
        <w:t>Miksi juuri nyt</w:t>
      </w:r>
    </w:p>
    <w:p>
      <w:pPr>
        <w:spacing w:after="40"/>
      </w:pPr>
      <w:r>
        <w:rPr>
          <w:b/>
          <w:color w:val="087E8B"/>
        </w:rPr>
        <w:t xml:space="preserve">2. </w:t>
      </w:r>
      <w:r>
        <w:t>Ongelma: osaamista ei synny ilman käyttöä</w:t>
      </w:r>
    </w:p>
    <w:p>
      <w:pPr>
        <w:spacing w:after="40"/>
      </w:pPr>
      <w:r>
        <w:rPr>
          <w:b/>
          <w:color w:val="087E8B"/>
        </w:rPr>
        <w:t xml:space="preserve">3. </w:t>
      </w:r>
      <w:r>
        <w:t>Miksi kirjasto</w:t>
      </w:r>
    </w:p>
    <w:p>
      <w:pPr>
        <w:spacing w:after="40"/>
      </w:pPr>
      <w:r>
        <w:rPr>
          <w:b/>
          <w:color w:val="087E8B"/>
        </w:rPr>
        <w:t xml:space="preserve">4. </w:t>
      </w:r>
      <w:r>
        <w:t>Ehdotettu palvelumalli</w:t>
      </w:r>
    </w:p>
    <w:p>
      <w:pPr>
        <w:spacing w:after="40"/>
      </w:pPr>
      <w:r>
        <w:rPr>
          <w:b/>
          <w:color w:val="087E8B"/>
        </w:rPr>
        <w:t xml:space="preserve">5. </w:t>
      </w:r>
      <w:r>
        <w:t>Suvereniteetti suunnitteluperiaatteena</w:t>
      </w:r>
    </w:p>
    <w:p>
      <w:pPr>
        <w:spacing w:after="40"/>
      </w:pPr>
      <w:r>
        <w:rPr>
          <w:b/>
          <w:color w:val="087E8B"/>
        </w:rPr>
        <w:t xml:space="preserve">6. </w:t>
      </w:r>
      <w:r>
        <w:t>Tekninen minimiratkaisu</w:t>
      </w:r>
    </w:p>
    <w:p>
      <w:pPr>
        <w:spacing w:after="40"/>
      </w:pPr>
      <w:r>
        <w:rPr>
          <w:b/>
          <w:color w:val="087E8B"/>
        </w:rPr>
        <w:t xml:space="preserve">7. </w:t>
      </w:r>
      <w:r>
        <w:t>Yksityisyys, seuranta ja kansallinen oppimissignaali</w:t>
      </w:r>
    </w:p>
    <w:p>
      <w:pPr>
        <w:spacing w:after="40"/>
      </w:pPr>
      <w:r>
        <w:rPr>
          <w:b/>
          <w:color w:val="087E8B"/>
        </w:rPr>
        <w:t xml:space="preserve">8. </w:t>
      </w:r>
      <w:r>
        <w:t>Koulutus ja yhteisöllinen oppiminen</w:t>
      </w:r>
    </w:p>
    <w:p>
      <w:pPr>
        <w:spacing w:after="40"/>
      </w:pPr>
      <w:r>
        <w:rPr>
          <w:b/>
          <w:color w:val="087E8B"/>
        </w:rPr>
        <w:t xml:space="preserve">9. </w:t>
      </w:r>
      <w:r>
        <w:t>Taloudellinen näkökulma</w:t>
      </w:r>
    </w:p>
    <w:p>
      <w:pPr>
        <w:spacing w:after="40"/>
      </w:pPr>
      <w:r>
        <w:rPr>
          <w:b/>
          <w:color w:val="087E8B"/>
        </w:rPr>
        <w:t xml:space="preserve">10. </w:t>
      </w:r>
      <w:r>
        <w:t>Kansallinen pilotointi ja skaalaus</w:t>
      </w:r>
    </w:p>
    <w:p>
      <w:pPr>
        <w:spacing w:after="40"/>
      </w:pPr>
      <w:r>
        <w:rPr>
          <w:b/>
          <w:color w:val="087E8B"/>
        </w:rPr>
        <w:t xml:space="preserve">11. </w:t>
      </w:r>
      <w:r>
        <w:t>Eurooppalainen ulottuvuus</w:t>
      </w:r>
    </w:p>
    <w:p>
      <w:pPr>
        <w:spacing w:after="40"/>
      </w:pPr>
      <w:r>
        <w:rPr>
          <w:b/>
          <w:color w:val="087E8B"/>
        </w:rPr>
        <w:t xml:space="preserve">12. </w:t>
      </w:r>
      <w:r>
        <w:t>Hallinto ja operointimalli</w:t>
      </w:r>
    </w:p>
    <w:p>
      <w:pPr>
        <w:spacing w:after="40"/>
      </w:pPr>
      <w:r>
        <w:rPr>
          <w:b/>
          <w:color w:val="087E8B"/>
        </w:rPr>
        <w:t xml:space="preserve">13. </w:t>
      </w:r>
      <w:r>
        <w:t>Mittarit</w:t>
      </w:r>
    </w:p>
    <w:p>
      <w:pPr>
        <w:spacing w:after="40"/>
      </w:pPr>
      <w:r>
        <w:rPr>
          <w:b/>
          <w:color w:val="087E8B"/>
        </w:rPr>
        <w:t xml:space="preserve">14. </w:t>
      </w:r>
      <w:r>
        <w:t>Riskit ja suojaukset</w:t>
      </w:r>
    </w:p>
    <w:p>
      <w:pPr>
        <w:spacing w:after="40"/>
      </w:pPr>
      <w:r>
        <w:rPr>
          <w:b/>
          <w:color w:val="087E8B"/>
        </w:rPr>
        <w:t xml:space="preserve">15. </w:t>
      </w:r>
      <w:r>
        <w:t>Viestintä ja PR</w:t>
      </w:r>
    </w:p>
    <w:p>
      <w:pPr>
        <w:spacing w:after="40"/>
      </w:pPr>
      <w:r>
        <w:rPr>
          <w:b/>
          <w:color w:val="087E8B"/>
        </w:rPr>
        <w:t xml:space="preserve">16. </w:t>
      </w:r>
      <w:r>
        <w:t>90 päivän etenemismalli</w:t>
      </w:r>
    </w:p>
    <w:p>
      <w:pPr>
        <w:spacing w:after="40"/>
      </w:pPr>
      <w:r>
        <w:rPr>
          <w:b/>
          <w:color w:val="087E8B"/>
        </w:rPr>
        <w:t xml:space="preserve">17. </w:t>
      </w:r>
      <w:r>
        <w:t>Avoimet kysymykset</w:t>
      </w:r>
    </w:p>
    <w:p>
      <w:pPr>
        <w:spacing w:after="40"/>
      </w:pPr>
      <w:r>
        <w:rPr>
          <w:b/>
          <w:color w:val="087E8B"/>
        </w:rPr>
        <w:t xml:space="preserve">18. </w:t>
      </w:r>
      <w:r>
        <w:t>Johtopäätös</w:t>
      </w:r>
    </w:p>
    <w:p>
      <w:pPr>
        <w:spacing w:after="40"/>
      </w:pPr>
      <w:r>
        <w:rPr>
          <w:b/>
          <w:color w:val="087E8B"/>
        </w:rPr>
      </w:r>
      <w:r>
        <w:t>Lähteet ja taustafaktat</w:t>
      </w:r>
    </w:p>
    <w:p>
      <w:r>
        <w:br w:type="page"/>
      </w:r>
    </w:p>
    <w:p>
      <w:pPr>
        <w:pStyle w:val="Heading1"/>
      </w:pPr>
      <w:r>
        <w:t>1. Miksi juuri nyt</w:t>
      </w:r>
    </w:p>
    <w:p>
      <w:pPr>
        <w:pStyle w:val="Lead"/>
      </w:pPr>
      <w:r>
        <w:t>Tekoäly muuttaa samanaikaisesti kansalaisten arkea, koulutusta, työtä, yritystoimintaa, julkisia palveluita ja digitaalista infrastruktuuria. Muutos ei tapahdu vain ohjelmistokerroksessa. Se muuttaa sitä, kuka hallitsee tietoa, laskentaa, osaamista ja digitaalista toimintakykyä.</w:t>
      </w:r>
    </w:p>
    <w:p>
      <w:r>
        <w:t>Seuraavat vuodet ovat erityisen merkittäviä, koska tekoälyn infrastruktuuri, käyttötavat ja palvelumallit vakiintuvat nopeasti. Suuret kansainväliset toimijat investoivat mittakaavassa, johon yksittäiset kaupungit, organisaatiot tai edes valtiot eivät voi vastata samalla logiikalla. Suomen ei siksi kannata yrittää kopioida globaaleja kuluttajapalveluita yksi yhteen. Parempi kysymys on, missä Suomi voi rakentaa omaa strategista toimintakykyä, tasa-arvoa ja oppimista käyttäen olemassa olevia vahvuuksiaan.</w:t>
      </w:r>
    </w:p>
    <w:p>
      <w:r>
        <w:t>Tämä avaa mahdollisuuden digitaalisen ympäristön osittaiseen uudelleensuunnitteluun. Aiemmalla alustatalouden aikakaudella käyttöliittymät ja palvelut omistivat usein myös käyttäjäsuhteen, datan ja jakelun. AI-aikakaudella voidaan pyrkiä malliin, jossa kansalaisella, yrityksellä, kaupungilla ja valtiolla on enemmän omaa kontrollia tietoon, kapasiteettiin ja digitaaliseen toimijuuteen.</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Suurempi kehys</w:t>
            </w:r>
          </w:p>
          <w:p>
            <w:pPr>
              <w:pStyle w:val="Callout"/>
            </w:pPr>
            <w:r>
              <w:t>Kirjastokortilla tekoälyä ei ole vain kirjastopalvelu. Se on konkreettinen tapa tehdä kansallisesta AI-osaamisesta, digitaalisesta tasa-arvosta ja suvereniteetista käytännön infrastruktuuria.</w:t>
            </w:r>
          </w:p>
        </w:tc>
      </w:tr>
    </w:tbl>
    <w:p>
      <w:pPr>
        <w:spacing w:after="0"/>
      </w:pPr>
    </w:p>
    <w:p>
      <w:pPr>
        <w:pStyle w:val="Heading2"/>
      </w:pPr>
      <w:r>
        <w:t>1.1 Kansallinen upskill tarvitsee käyttöoikeuden</w:t>
      </w:r>
    </w:p>
    <w:p>
      <w:r>
        <w:t>Tekoälyn käytön oppiminen muistuttaa enemmän tietokoneen, internetin tai uuden työvälineen oppimista kuin perinteisen oppiaineen opiskelua. Teoria auttaa, mutta osaaminen syntyy toistuvasta käytöstä, kokeilusta ja oman arjen ongelmien ratkaisemisesta.</w:t>
      </w:r>
    </w:p>
    <w:p>
      <w:r>
        <w:t>Siksi kansallinen AI-upskill ei voi perustua vain kursseihin. Sen täytyy sisältää myös oikeus tai käytännöllinen mahdollisuus käyttää tekoälyä riittävästi. Tämä muuttaa kysymyksen koulutuspolitiikasta osittain myös infrastruktuuri- ja saavutettavuuskysymykseksi.</w:t>
      </w:r>
    </w:p>
    <w:p>
      <w:r>
        <w:br w:type="page"/>
      </w:r>
    </w:p>
    <w:p>
      <w:pPr>
        <w:pStyle w:val="Heading1"/>
      </w:pPr>
      <w:r>
        <w:t>2. Ongelma: osaamista ei synny ilman käyttöä</w:t>
      </w:r>
    </w:p>
    <w:p>
      <w:pPr>
        <w:pStyle w:val="Lead"/>
      </w:pPr>
      <w:r>
        <w:t>Tällä hetkellä ihmisten mahdollisuudet käyttää tekoälyä ovat epätasaiset. Pääsy voi riippua omasta maksukyvystä, työnantajasta, oppilaitoksesta, teknisestä osaamisesta tai siitä, onko käytettävissä riittävä laitteisto ja osaaminen avoimien mallien ajamiseen.</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7324D"/>
            <w:tcMar>
              <w:top w:w="100" w:type="dxa"/>
              <w:start w:w="110" w:type="dxa"/>
              <w:bottom w:w="100" w:type="dxa"/>
              <w:end w:w="110" w:type="dxa"/>
            </w:tcMar>
          </w:tcPr>
          <w:p>
            <w:pPr>
              <w:jc w:val="left"/>
            </w:pPr>
            <w:r>
              <w:rPr>
                <w:b/>
                <w:color w:val="FFFFFF"/>
                <w:sz w:val="18"/>
              </w:rPr>
              <w:t>Nykyinen reitti</w:t>
            </w:r>
          </w:p>
        </w:tc>
        <w:tc>
          <w:tcPr>
            <w:tcW w:type="dxa" w:w="3389"/>
            <w:shd w:fill="17324D"/>
            <w:tcMar>
              <w:top w:w="100" w:type="dxa"/>
              <w:start w:w="110" w:type="dxa"/>
              <w:bottom w:w="100" w:type="dxa"/>
              <w:end w:w="110" w:type="dxa"/>
            </w:tcMar>
          </w:tcPr>
          <w:p>
            <w:pPr>
              <w:jc w:val="left"/>
            </w:pPr>
            <w:r>
              <w:rPr>
                <w:b/>
                <w:color w:val="FFFFFF"/>
                <w:sz w:val="18"/>
              </w:rPr>
              <w:t>Hyöty</w:t>
            </w:r>
          </w:p>
        </w:tc>
        <w:tc>
          <w:tcPr>
            <w:tcW w:type="dxa" w:w="3389"/>
            <w:shd w:fill="17324D"/>
            <w:tcMar>
              <w:top w:w="100" w:type="dxa"/>
              <w:start w:w="110" w:type="dxa"/>
              <w:bottom w:w="100" w:type="dxa"/>
              <w:end w:w="110" w:type="dxa"/>
            </w:tcMar>
          </w:tcPr>
          <w:p>
            <w:pPr>
              <w:jc w:val="left"/>
            </w:pPr>
            <w:r>
              <w:rPr>
                <w:b/>
                <w:color w:val="FFFFFF"/>
                <w:sz w:val="18"/>
              </w:rPr>
              <w:t>Rajoite kansallisen tasa-arvon näkökulmasta</w:t>
            </w:r>
          </w:p>
        </w:tc>
      </w:tr>
      <w:tr>
        <w:tc>
          <w:tcPr>
            <w:tcW w:type="dxa" w:w="3389"/>
            <w:tcMar>
              <w:top w:w="100" w:type="dxa"/>
              <w:start w:w="110" w:type="dxa"/>
              <w:bottom w:w="100" w:type="dxa"/>
              <w:end w:w="110" w:type="dxa"/>
            </w:tcMar>
          </w:tcPr>
          <w:p>
            <w:pPr>
              <w:spacing w:after="0"/>
            </w:pPr>
            <w:r>
              <w:rPr>
                <w:sz w:val="17"/>
              </w:rPr>
              <w:t>Maksullinen kuluttajapalvelu</w:t>
            </w:r>
          </w:p>
        </w:tc>
        <w:tc>
          <w:tcPr>
            <w:tcW w:type="dxa" w:w="3389"/>
            <w:tcMar>
              <w:top w:w="100" w:type="dxa"/>
              <w:start w:w="110" w:type="dxa"/>
              <w:bottom w:w="100" w:type="dxa"/>
              <w:end w:w="110" w:type="dxa"/>
            </w:tcMar>
          </w:tcPr>
          <w:p>
            <w:pPr>
              <w:spacing w:after="0"/>
            </w:pPr>
            <w:r>
              <w:rPr>
                <w:sz w:val="17"/>
              </w:rPr>
              <w:t>Helppo ja laadukas käyttö</w:t>
            </w:r>
          </w:p>
        </w:tc>
        <w:tc>
          <w:tcPr>
            <w:tcW w:type="dxa" w:w="3389"/>
            <w:tcMar>
              <w:top w:w="100" w:type="dxa"/>
              <w:start w:w="110" w:type="dxa"/>
              <w:bottom w:w="100" w:type="dxa"/>
              <w:end w:w="110" w:type="dxa"/>
            </w:tcMar>
          </w:tcPr>
          <w:p>
            <w:pPr>
              <w:spacing w:after="0"/>
            </w:pPr>
            <w:r>
              <w:rPr>
                <w:sz w:val="17"/>
              </w:rPr>
              <w:t>Maksukyky ratkaisee; palvelu ja data usein ulkomaisessa ekosysteemissä</w:t>
            </w:r>
          </w:p>
        </w:tc>
      </w:tr>
      <w:tr>
        <w:tc>
          <w:tcPr>
            <w:tcW w:type="dxa" w:w="3389"/>
            <w:tcMar>
              <w:top w:w="100" w:type="dxa"/>
              <w:start w:w="110" w:type="dxa"/>
              <w:bottom w:w="100" w:type="dxa"/>
              <w:end w:w="110" w:type="dxa"/>
            </w:tcMar>
            <w:shd w:fill="F5F8FA"/>
          </w:tcPr>
          <w:p>
            <w:pPr>
              <w:spacing w:after="0"/>
            </w:pPr>
            <w:r>
              <w:rPr>
                <w:sz w:val="17"/>
              </w:rPr>
              <w:t>Ilmainen kuluttajapalvelu</w:t>
            </w:r>
          </w:p>
        </w:tc>
        <w:tc>
          <w:tcPr>
            <w:tcW w:type="dxa" w:w="3389"/>
            <w:tcMar>
              <w:top w:w="100" w:type="dxa"/>
              <w:start w:w="110" w:type="dxa"/>
              <w:bottom w:w="100" w:type="dxa"/>
              <w:end w:w="110" w:type="dxa"/>
            </w:tcMar>
            <w:shd w:fill="F5F8FA"/>
          </w:tcPr>
          <w:p>
            <w:pPr>
              <w:spacing w:after="0"/>
            </w:pPr>
            <w:r>
              <w:rPr>
                <w:sz w:val="17"/>
              </w:rPr>
              <w:t>Matala aloituskynnys</w:t>
            </w:r>
          </w:p>
        </w:tc>
        <w:tc>
          <w:tcPr>
            <w:tcW w:type="dxa" w:w="3389"/>
            <w:tcMar>
              <w:top w:w="100" w:type="dxa"/>
              <w:start w:w="110" w:type="dxa"/>
              <w:bottom w:w="100" w:type="dxa"/>
              <w:end w:w="110" w:type="dxa"/>
            </w:tcMar>
            <w:shd w:fill="F5F8FA"/>
          </w:tcPr>
          <w:p>
            <w:pPr>
              <w:spacing w:after="0"/>
            </w:pPr>
            <w:r>
              <w:rPr>
                <w:sz w:val="17"/>
              </w:rPr>
              <w:t>Käyttörajat, ehdot ja ansaintalogiikka määräytyvät kaupallisen toimijan mukaan</w:t>
            </w:r>
          </w:p>
        </w:tc>
      </w:tr>
      <w:tr>
        <w:tc>
          <w:tcPr>
            <w:tcW w:type="dxa" w:w="3389"/>
            <w:tcMar>
              <w:top w:w="100" w:type="dxa"/>
              <w:start w:w="110" w:type="dxa"/>
              <w:bottom w:w="100" w:type="dxa"/>
              <w:end w:w="110" w:type="dxa"/>
            </w:tcMar>
          </w:tcPr>
          <w:p>
            <w:pPr>
              <w:spacing w:after="0"/>
            </w:pPr>
            <w:r>
              <w:rPr>
                <w:sz w:val="17"/>
              </w:rPr>
              <w:t>Työnantajan tarjoama AI</w:t>
            </w:r>
          </w:p>
        </w:tc>
        <w:tc>
          <w:tcPr>
            <w:tcW w:type="dxa" w:w="3389"/>
            <w:tcMar>
              <w:top w:w="100" w:type="dxa"/>
              <w:start w:w="110" w:type="dxa"/>
              <w:bottom w:w="100" w:type="dxa"/>
              <w:end w:w="110" w:type="dxa"/>
            </w:tcMar>
          </w:tcPr>
          <w:p>
            <w:pPr>
              <w:spacing w:after="0"/>
            </w:pPr>
            <w:r>
              <w:rPr>
                <w:sz w:val="17"/>
              </w:rPr>
              <w:t>Hyvä työelämässä</w:t>
            </w:r>
          </w:p>
        </w:tc>
        <w:tc>
          <w:tcPr>
            <w:tcW w:type="dxa" w:w="3389"/>
            <w:tcMar>
              <w:top w:w="100" w:type="dxa"/>
              <w:start w:w="110" w:type="dxa"/>
              <w:bottom w:w="100" w:type="dxa"/>
              <w:end w:w="110" w:type="dxa"/>
            </w:tcMar>
          </w:tcPr>
          <w:p>
            <w:pPr>
              <w:spacing w:after="0"/>
            </w:pPr>
            <w:r>
              <w:rPr>
                <w:sz w:val="17"/>
              </w:rPr>
              <w:t>Ei kata kaikkia kansalaisia eikä vapaa-ajan oppimista</w:t>
            </w:r>
          </w:p>
        </w:tc>
      </w:tr>
      <w:tr>
        <w:tc>
          <w:tcPr>
            <w:tcW w:type="dxa" w:w="3389"/>
            <w:tcMar>
              <w:top w:w="100" w:type="dxa"/>
              <w:start w:w="110" w:type="dxa"/>
              <w:bottom w:w="100" w:type="dxa"/>
              <w:end w:w="110" w:type="dxa"/>
            </w:tcMar>
            <w:shd w:fill="F5F8FA"/>
          </w:tcPr>
          <w:p>
            <w:pPr>
              <w:spacing w:after="0"/>
            </w:pPr>
            <w:r>
              <w:rPr>
                <w:sz w:val="17"/>
              </w:rPr>
              <w:t>Oppilaitoksen tarjoama AI</w:t>
            </w:r>
          </w:p>
        </w:tc>
        <w:tc>
          <w:tcPr>
            <w:tcW w:type="dxa" w:w="3389"/>
            <w:tcMar>
              <w:top w:w="100" w:type="dxa"/>
              <w:start w:w="110" w:type="dxa"/>
              <w:bottom w:w="100" w:type="dxa"/>
              <w:end w:w="110" w:type="dxa"/>
            </w:tcMar>
            <w:shd w:fill="F5F8FA"/>
          </w:tcPr>
          <w:p>
            <w:pPr>
              <w:spacing w:after="0"/>
            </w:pPr>
            <w:r>
              <w:rPr>
                <w:sz w:val="17"/>
              </w:rPr>
              <w:t>Hyvä opiskelijoille</w:t>
            </w:r>
          </w:p>
        </w:tc>
        <w:tc>
          <w:tcPr>
            <w:tcW w:type="dxa" w:w="3389"/>
            <w:tcMar>
              <w:top w:w="100" w:type="dxa"/>
              <w:start w:w="110" w:type="dxa"/>
              <w:bottom w:w="100" w:type="dxa"/>
              <w:end w:w="110" w:type="dxa"/>
            </w:tcMar>
            <w:shd w:fill="F5F8FA"/>
          </w:tcPr>
          <w:p>
            <w:pPr>
              <w:spacing w:after="0"/>
            </w:pPr>
            <w:r>
              <w:rPr>
                <w:sz w:val="17"/>
              </w:rPr>
              <w:t>Pääsy sidottu opiskeluasemaan</w:t>
            </w:r>
          </w:p>
        </w:tc>
      </w:tr>
      <w:tr>
        <w:tc>
          <w:tcPr>
            <w:tcW w:type="dxa" w:w="3389"/>
            <w:tcMar>
              <w:top w:w="100" w:type="dxa"/>
              <w:start w:w="110" w:type="dxa"/>
              <w:bottom w:w="100" w:type="dxa"/>
              <w:end w:w="110" w:type="dxa"/>
            </w:tcMar>
          </w:tcPr>
          <w:p>
            <w:pPr>
              <w:spacing w:after="0"/>
            </w:pPr>
            <w:r>
              <w:rPr>
                <w:sz w:val="17"/>
              </w:rPr>
              <w:t>Oma avoin malli</w:t>
            </w:r>
          </w:p>
        </w:tc>
        <w:tc>
          <w:tcPr>
            <w:tcW w:type="dxa" w:w="3389"/>
            <w:tcMar>
              <w:top w:w="100" w:type="dxa"/>
              <w:start w:w="110" w:type="dxa"/>
              <w:bottom w:w="100" w:type="dxa"/>
              <w:end w:w="110" w:type="dxa"/>
            </w:tcMar>
          </w:tcPr>
          <w:p>
            <w:pPr>
              <w:spacing w:after="0"/>
            </w:pPr>
            <w:r>
              <w:rPr>
                <w:sz w:val="17"/>
              </w:rPr>
              <w:t>Kontrolli ja joustavuus</w:t>
            </w:r>
          </w:p>
        </w:tc>
        <w:tc>
          <w:tcPr>
            <w:tcW w:type="dxa" w:w="3389"/>
            <w:tcMar>
              <w:top w:w="100" w:type="dxa"/>
              <w:start w:w="110" w:type="dxa"/>
              <w:bottom w:w="100" w:type="dxa"/>
              <w:end w:w="110" w:type="dxa"/>
            </w:tcMar>
          </w:tcPr>
          <w:p>
            <w:pPr>
              <w:spacing w:after="0"/>
            </w:pPr>
            <w:r>
              <w:rPr>
                <w:sz w:val="17"/>
              </w:rPr>
              <w:t>Vaatii teknistä osaamista, laitteistoa tai maksullista pilvikapasiteettia</w:t>
            </w:r>
          </w:p>
        </w:tc>
      </w:tr>
    </w:tbl>
    <w:p>
      <w:pPr>
        <w:spacing w:after="0"/>
      </w:pPr>
    </w:p>
    <w:p>
      <w:r>
        <w:t>Kysymys ei ole siitä, että jokaisen pitäisi luopua kaupallisista AI-palveluista. Kyse on siitä, että yhteiskunnalla pitäisi olla myös perustason vaihtoehto, jonka käyttö ei riipu henkilön taloudellisesta asemasta tai ulkomaisen palveluntarjoajan tilistä.</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Keskeinen periaate</w:t>
            </w:r>
          </w:p>
          <w:p>
            <w:pPr>
              <w:pStyle w:val="Callout"/>
            </w:pPr>
            <w:r>
              <w:t>Raha ei saa olla este AI-perusosaamisen kehittämiselle. Myöskään oman tehokkaan päätelaitteen tai teknisen infrastruktuurin puute ei saa olla este.</w:t>
            </w:r>
          </w:p>
        </w:tc>
      </w:tr>
    </w:tbl>
    <w:p>
      <w:pPr>
        <w:spacing w:after="0"/>
      </w:pPr>
    </w:p>
    <w:p>
      <w:r>
        <w:br w:type="page"/>
      </w:r>
    </w:p>
    <w:p>
      <w:pPr>
        <w:pStyle w:val="Heading1"/>
      </w:pPr>
      <w:r>
        <w:t>3. Miksi kirjasto</w:t>
      </w:r>
    </w:p>
    <w:p>
      <w:pPr>
        <w:pStyle w:val="Lead"/>
      </w:pPr>
      <w:r>
        <w:t>Kirjasto on Suomessa valmiiksi olemassa oleva, kaikkia väestöryhmiä palveleva instituutio, jonka tehtävä on poikkeuksellisen lähellä tämän konseptin ydintä.</w:t>
      </w:r>
    </w:p>
    <w:p>
      <w:r>
        <w:t>Laki yleisistä kirjastoista määrittelee tavoitteiksi muun muassa väestön yhdenvertaiset mahdollisuudet sivistykseen ja kulttuuriin, tiedon saatavuuden ja käytön sekä mahdollisuudet elinikäiseen oppimiseen ja osaamisen kehittämiseen. Yleisten kirjastojen tehtäviin kuuluu myös pääsyn tarjoaminen tietoon, ohjaus tiedon hankintaan ja käyttöön sekä ajantasaisen välineistön ylläpitäminen.¹</w:t>
      </w:r>
    </w:p>
    <w:p>
      <w:r>
        <w:t>Käytännössä kirjastot ovat jo laajentuneet kirjojen lainaamisesta digitaalisiin aineistoihin, asiakastietokoneisiin, ohjelmistoihin, makerspace-toimintaan, laitelainaukseen, tapahtumiin ja digitukeen. Esimerkiksi pääkaupunkiseudun Helmet-kirjastot tarjoavat yhteisen kortin Helsingin, Espoon, Vantaan ja Kauniaisten kirjastoihin, ja Helmet-verkkokirjastoon kirjaudutaan kortin numerolla ja PIN-koodilla.²</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Kirjaston olemassa oleva ominaisuus</w:t>
            </w:r>
          </w:p>
        </w:tc>
        <w:tc>
          <w:tcPr>
            <w:tcW w:type="dxa" w:w="5083"/>
            <w:shd w:fill="17324D"/>
            <w:tcMar>
              <w:top w:w="100" w:type="dxa"/>
              <w:start w:w="110" w:type="dxa"/>
              <w:bottom w:w="100" w:type="dxa"/>
              <w:end w:w="110" w:type="dxa"/>
            </w:tcMar>
          </w:tcPr>
          <w:p>
            <w:pPr>
              <w:jc w:val="left"/>
            </w:pPr>
            <w:r>
              <w:rPr>
                <w:b/>
                <w:color w:val="FFFFFF"/>
                <w:sz w:val="18"/>
              </w:rPr>
              <w:t>Merkitys AI-kapasiteetin jakelulle</w:t>
            </w:r>
          </w:p>
        </w:tc>
      </w:tr>
      <w:tr>
        <w:tc>
          <w:tcPr>
            <w:tcW w:type="dxa" w:w="5083"/>
            <w:tcMar>
              <w:top w:w="100" w:type="dxa"/>
              <w:start w:w="110" w:type="dxa"/>
              <w:bottom w:w="100" w:type="dxa"/>
              <w:end w:w="110" w:type="dxa"/>
            </w:tcMar>
          </w:tcPr>
          <w:p>
            <w:pPr>
              <w:spacing w:after="0"/>
            </w:pPr>
            <w:r>
              <w:rPr>
                <w:sz w:val="17"/>
              </w:rPr>
              <w:t>Laaja luottamus ja neutraali rooli</w:t>
            </w:r>
          </w:p>
        </w:tc>
        <w:tc>
          <w:tcPr>
            <w:tcW w:type="dxa" w:w="5083"/>
            <w:tcMar>
              <w:top w:w="100" w:type="dxa"/>
              <w:start w:w="110" w:type="dxa"/>
              <w:bottom w:w="100" w:type="dxa"/>
              <w:end w:w="110" w:type="dxa"/>
            </w:tcMar>
          </w:tcPr>
          <w:p>
            <w:pPr>
              <w:spacing w:after="0"/>
            </w:pPr>
            <w:r>
              <w:rPr>
                <w:sz w:val="17"/>
              </w:rPr>
              <w:t>Palvelu voidaan nähdä kansalaisten perusinfrastruktuurina, ei uuden kaupallisen alustan markkinointina</w:t>
            </w:r>
          </w:p>
        </w:tc>
      </w:tr>
      <w:tr>
        <w:tc>
          <w:tcPr>
            <w:tcW w:type="dxa" w:w="5083"/>
            <w:tcMar>
              <w:top w:w="100" w:type="dxa"/>
              <w:start w:w="110" w:type="dxa"/>
              <w:bottom w:w="100" w:type="dxa"/>
              <w:end w:w="110" w:type="dxa"/>
            </w:tcMar>
            <w:shd w:fill="F5F8FA"/>
          </w:tcPr>
          <w:p>
            <w:pPr>
              <w:spacing w:after="0"/>
            </w:pPr>
            <w:r>
              <w:rPr>
                <w:sz w:val="17"/>
              </w:rPr>
              <w:t>Vapaaehtoinen käyttö</w:t>
            </w:r>
          </w:p>
        </w:tc>
        <w:tc>
          <w:tcPr>
            <w:tcW w:type="dxa" w:w="5083"/>
            <w:tcMar>
              <w:top w:w="100" w:type="dxa"/>
              <w:start w:w="110" w:type="dxa"/>
              <w:bottom w:w="100" w:type="dxa"/>
              <w:end w:w="110" w:type="dxa"/>
            </w:tcMar>
            <w:shd w:fill="F5F8FA"/>
          </w:tcPr>
          <w:p>
            <w:pPr>
              <w:spacing w:after="0"/>
            </w:pPr>
            <w:r>
              <w:rPr>
                <w:sz w:val="17"/>
              </w:rPr>
              <w:t>Kukaan ei ole pakotettu käyttämään palvelua</w:t>
            </w:r>
          </w:p>
        </w:tc>
      </w:tr>
      <w:tr>
        <w:tc>
          <w:tcPr>
            <w:tcW w:type="dxa" w:w="5083"/>
            <w:tcMar>
              <w:top w:w="100" w:type="dxa"/>
              <w:start w:w="110" w:type="dxa"/>
              <w:bottom w:w="100" w:type="dxa"/>
              <w:end w:w="110" w:type="dxa"/>
            </w:tcMar>
          </w:tcPr>
          <w:p>
            <w:pPr>
              <w:spacing w:after="0"/>
            </w:pPr>
            <w:r>
              <w:rPr>
                <w:sz w:val="17"/>
              </w:rPr>
              <w:t>Valmis asiakkuus ja tunniste</w:t>
            </w:r>
          </w:p>
        </w:tc>
        <w:tc>
          <w:tcPr>
            <w:tcW w:type="dxa" w:w="5083"/>
            <w:tcMar>
              <w:top w:w="100" w:type="dxa"/>
              <w:start w:w="110" w:type="dxa"/>
              <w:bottom w:w="100" w:type="dxa"/>
              <w:end w:w="110" w:type="dxa"/>
            </w:tcMar>
          </w:tcPr>
          <w:p>
            <w:pPr>
              <w:spacing w:after="0"/>
            </w:pPr>
            <w:r>
              <w:rPr>
                <w:sz w:val="17"/>
              </w:rPr>
              <w:t>Kirjastokortti tarjoaa olemassa olevan pääsylogiikan</w:t>
            </w:r>
          </w:p>
        </w:tc>
      </w:tr>
      <w:tr>
        <w:tc>
          <w:tcPr>
            <w:tcW w:type="dxa" w:w="5083"/>
            <w:tcMar>
              <w:top w:w="100" w:type="dxa"/>
              <w:start w:w="110" w:type="dxa"/>
              <w:bottom w:w="100" w:type="dxa"/>
              <w:end w:w="110" w:type="dxa"/>
            </w:tcMar>
            <w:shd w:fill="F5F8FA"/>
          </w:tcPr>
          <w:p>
            <w:pPr>
              <w:spacing w:after="0"/>
            </w:pPr>
            <w:r>
              <w:rPr>
                <w:sz w:val="17"/>
              </w:rPr>
              <w:t>Paikallinen fyysinen verkosto</w:t>
            </w:r>
          </w:p>
        </w:tc>
        <w:tc>
          <w:tcPr>
            <w:tcW w:type="dxa" w:w="5083"/>
            <w:tcMar>
              <w:top w:w="100" w:type="dxa"/>
              <w:start w:w="110" w:type="dxa"/>
              <w:bottom w:w="100" w:type="dxa"/>
              <w:end w:w="110" w:type="dxa"/>
            </w:tcMar>
            <w:shd w:fill="F5F8FA"/>
          </w:tcPr>
          <w:p>
            <w:pPr>
              <w:spacing w:after="0"/>
            </w:pPr>
            <w:r>
              <w:rPr>
                <w:sz w:val="17"/>
              </w:rPr>
              <w:t>Koulutus, AI-illat ja neuvonta voidaan tuoda lähelle kansalaisia</w:t>
            </w:r>
          </w:p>
        </w:tc>
      </w:tr>
      <w:tr>
        <w:tc>
          <w:tcPr>
            <w:tcW w:type="dxa" w:w="5083"/>
            <w:tcMar>
              <w:top w:w="100" w:type="dxa"/>
              <w:start w:w="110" w:type="dxa"/>
              <w:bottom w:w="100" w:type="dxa"/>
              <w:end w:w="110" w:type="dxa"/>
            </w:tcMar>
          </w:tcPr>
          <w:p>
            <w:pPr>
              <w:spacing w:after="0"/>
            </w:pPr>
            <w:r>
              <w:rPr>
                <w:sz w:val="17"/>
              </w:rPr>
              <w:t>Digitaaliset palvelut ja laitteet</w:t>
            </w:r>
          </w:p>
        </w:tc>
        <w:tc>
          <w:tcPr>
            <w:tcW w:type="dxa" w:w="5083"/>
            <w:tcMar>
              <w:top w:w="100" w:type="dxa"/>
              <w:start w:w="110" w:type="dxa"/>
              <w:bottom w:w="100" w:type="dxa"/>
              <w:end w:w="110" w:type="dxa"/>
            </w:tcMar>
          </w:tcPr>
          <w:p>
            <w:pPr>
              <w:spacing w:after="0"/>
            </w:pPr>
            <w:r>
              <w:rPr>
                <w:sz w:val="17"/>
              </w:rPr>
              <w:t>AI-kapasiteetti jatkaa jo olemassa olevaa digitaalisen pääsyn tehtävää</w:t>
            </w:r>
          </w:p>
        </w:tc>
      </w:tr>
      <w:tr>
        <w:tc>
          <w:tcPr>
            <w:tcW w:type="dxa" w:w="5083"/>
            <w:tcMar>
              <w:top w:w="100" w:type="dxa"/>
              <w:start w:w="110" w:type="dxa"/>
              <w:bottom w:w="100" w:type="dxa"/>
              <w:end w:w="110" w:type="dxa"/>
            </w:tcMar>
            <w:shd w:fill="F5F8FA"/>
          </w:tcPr>
          <w:p>
            <w:pPr>
              <w:spacing w:after="0"/>
            </w:pPr>
            <w:r>
              <w:rPr>
                <w:sz w:val="17"/>
              </w:rPr>
              <w:t>Kuntien välinen yhteistyö</w:t>
            </w:r>
          </w:p>
        </w:tc>
        <w:tc>
          <w:tcPr>
            <w:tcW w:type="dxa" w:w="5083"/>
            <w:tcMar>
              <w:top w:w="100" w:type="dxa"/>
              <w:start w:w="110" w:type="dxa"/>
              <w:bottom w:w="100" w:type="dxa"/>
              <w:end w:w="110" w:type="dxa"/>
            </w:tcMar>
            <w:shd w:fill="F5F8FA"/>
          </w:tcPr>
          <w:p>
            <w:pPr>
              <w:spacing w:after="0"/>
            </w:pPr>
            <w:r>
              <w:rPr>
                <w:sz w:val="17"/>
              </w:rPr>
              <w:t>Pilotti voi levitä kirjastokimpasta toiseen ilman yhtä valtakunnallista big bang -hanketta</w:t>
            </w:r>
          </w:p>
        </w:tc>
      </w:tr>
    </w:tbl>
    <w:p>
      <w:pPr>
        <w:spacing w:after="0"/>
      </w:pPr>
    </w:p>
    <w:p>
      <w:r>
        <w:t>Tärkeää on, ettei kirjastolle sysätä koko teknistä vastuuta. Kirjaston ensisijainen rooli on tässä mallissa jakelukanava, käyttäjäsuhde ja paikallinen oppimisympäristö. Tekninen kapasiteetti ja operointi voivat tulla erilliseltä kansalliselta tai eurooppalaiselta infrastruktuurikerrokselta.</w:t>
      </w:r>
    </w:p>
    <w:p>
      <w:r>
        <w:br w:type="page"/>
      </w:r>
    </w:p>
    <w:p>
      <w:pPr>
        <w:pStyle w:val="Heading1"/>
      </w:pPr>
      <w:r>
        <w:t>4. Ehdotettu palvelumalli</w:t>
      </w:r>
    </w:p>
    <w:p>
      <w:pPr>
        <w:pStyle w:val="Lead"/>
      </w:pPr>
      <w:r>
        <w:t>Konsepti voidaan toteuttaa kahdella toisiaan täydentävällä käyttöpolulla. Niitä ei tarvitse rakentaa yhtä aikaa.</w:t>
      </w:r>
    </w:p>
    <w:p>
      <w:pPr>
        <w:pStyle w:val="Heading2"/>
      </w:pPr>
      <w:r>
        <w:t>4.1 Polku A: AI-kapasiteetti API-avaimella</w:t>
      </w:r>
    </w:p>
    <w:p>
      <w:r>
        <w:t>Nopein minimiversio on teknisesti suuntautuneille käyttäjille tarkoitettu kapasiteettipalvelu. Kirjastokortin haltija aktivoi oman käyttöoikeutensa ja saa:</w:t>
      </w:r>
    </w:p>
    <w:p>
      <w:pPr>
        <w:pStyle w:val="ListBullet"/>
        <w:spacing w:after="40"/>
      </w:pPr>
      <w:r>
        <w:t>API-avaimen</w:t>
      </w:r>
    </w:p>
    <w:p>
      <w:pPr>
        <w:pStyle w:val="ListBullet"/>
        <w:spacing w:after="40"/>
      </w:pPr>
      <w:r>
        <w:t>endpoint-osoitteen</w:t>
      </w:r>
    </w:p>
    <w:p>
      <w:pPr>
        <w:pStyle w:val="ListBullet"/>
        <w:spacing w:after="40"/>
      </w:pPr>
      <w:r>
        <w:t>selkeän dokumentaation tuetuista malleista ja rajapinnasta</w:t>
      </w:r>
    </w:p>
    <w:p>
      <w:pPr>
        <w:pStyle w:val="ListBullet"/>
        <w:spacing w:after="40"/>
      </w:pPr>
      <w:r>
        <w:t>henkilökohtaisen tai pseudonyymin käyttökiintiön</w:t>
      </w:r>
    </w:p>
    <w:p>
      <w:pPr>
        <w:pStyle w:val="ListBullet"/>
        <w:spacing w:after="40"/>
      </w:pPr>
      <w:r>
        <w:t>näkymän jäljellä olevaan kapasiteettiin ja käyttöön.</w:t>
      </w:r>
    </w:p>
    <w:p>
      <w:r>
        <w:t>Tällä käyttäjä voi käyttää AI-kapasiteettia omissa sovelluksissaan, kokeiluissaan, agenttiratkaisuissaan tai esimerkiksi avoimen lähdekoodin käyttöliittymissä. Ensimmäinen toteutus voi olla jopa osittain manuaalinen, jos se lyhentää aikaa ideasta todelliseen käyttöön.</w:t>
      </w:r>
    </w:p>
    <w:p>
      <w:pPr>
        <w:pStyle w:val="Heading2"/>
      </w:pPr>
      <w:r>
        <w:t>4.2 Polku B: valmis AI-palvelu</w:t>
      </w:r>
    </w:p>
    <w:p>
      <w:r>
        <w:t>Seuraavassa vaiheessa sama kapasiteetti voidaan tarjota myös helppokäyttöisenä selain- tai mobiilipalveluna. Käyttäjän ei tällöin tarvitse tietää API:sta mitään. Hän kirjautuu palveluun, valitsee mallin tai käyttötarkoituksen ja käyttää tekoälyä tavallisen keskustelupalvelun tapaan.</w:t>
      </w:r>
    </w:p>
    <w:p>
      <w:pPr>
        <w:pStyle w:val="Heading2"/>
      </w:pPr>
      <w:r>
        <w:t>4.3 Sama taustakapasiteetti, erilaiset käyttökynnykset</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7324D"/>
            <w:tcMar>
              <w:top w:w="100" w:type="dxa"/>
              <w:start w:w="110" w:type="dxa"/>
              <w:bottom w:w="100" w:type="dxa"/>
              <w:end w:w="110" w:type="dxa"/>
            </w:tcMar>
          </w:tcPr>
          <w:p>
            <w:pPr>
              <w:jc w:val="left"/>
            </w:pPr>
            <w:r>
              <w:rPr>
                <w:b/>
                <w:color w:val="FFFFFF"/>
                <w:sz w:val="18"/>
              </w:rPr>
              <w:t>Käyttötapa</w:t>
            </w:r>
          </w:p>
        </w:tc>
        <w:tc>
          <w:tcPr>
            <w:tcW w:type="dxa" w:w="3389"/>
            <w:shd w:fill="17324D"/>
            <w:tcMar>
              <w:top w:w="100" w:type="dxa"/>
              <w:start w:w="110" w:type="dxa"/>
              <w:bottom w:w="100" w:type="dxa"/>
              <w:end w:w="110" w:type="dxa"/>
            </w:tcMar>
          </w:tcPr>
          <w:p>
            <w:pPr>
              <w:jc w:val="left"/>
            </w:pPr>
            <w:r>
              <w:rPr>
                <w:b/>
                <w:color w:val="FFFFFF"/>
                <w:sz w:val="18"/>
              </w:rPr>
              <w:t>Kohderyhmä</w:t>
            </w:r>
          </w:p>
        </w:tc>
        <w:tc>
          <w:tcPr>
            <w:tcW w:type="dxa" w:w="3389"/>
            <w:shd w:fill="17324D"/>
            <w:tcMar>
              <w:top w:w="100" w:type="dxa"/>
              <w:start w:w="110" w:type="dxa"/>
              <w:bottom w:w="100" w:type="dxa"/>
              <w:end w:w="110" w:type="dxa"/>
            </w:tcMar>
          </w:tcPr>
          <w:p>
            <w:pPr>
              <w:jc w:val="left"/>
            </w:pPr>
            <w:r>
              <w:rPr>
                <w:b/>
                <w:color w:val="FFFFFF"/>
                <w:sz w:val="18"/>
              </w:rPr>
              <w:t>Ensisijainen tavoite</w:t>
            </w:r>
          </w:p>
        </w:tc>
      </w:tr>
      <w:tr>
        <w:tc>
          <w:tcPr>
            <w:tcW w:type="dxa" w:w="3389"/>
            <w:tcMar>
              <w:top w:w="100" w:type="dxa"/>
              <w:start w:w="110" w:type="dxa"/>
              <w:bottom w:w="100" w:type="dxa"/>
              <w:end w:w="110" w:type="dxa"/>
            </w:tcMar>
          </w:tcPr>
          <w:p>
            <w:pPr>
              <w:spacing w:after="0"/>
            </w:pPr>
            <w:r>
              <w:rPr>
                <w:sz w:val="17"/>
              </w:rPr>
              <w:t>API-avain</w:t>
            </w:r>
          </w:p>
        </w:tc>
        <w:tc>
          <w:tcPr>
            <w:tcW w:type="dxa" w:w="3389"/>
            <w:tcMar>
              <w:top w:w="100" w:type="dxa"/>
              <w:start w:w="110" w:type="dxa"/>
              <w:bottom w:w="100" w:type="dxa"/>
              <w:end w:w="110" w:type="dxa"/>
            </w:tcMar>
          </w:tcPr>
          <w:p>
            <w:pPr>
              <w:spacing w:after="0"/>
            </w:pPr>
            <w:r>
              <w:rPr>
                <w:sz w:val="17"/>
              </w:rPr>
              <w:t>Rakentajat, opiskelijat, teknisesti uteliaat, pienyritykset</w:t>
            </w:r>
          </w:p>
        </w:tc>
        <w:tc>
          <w:tcPr>
            <w:tcW w:type="dxa" w:w="3389"/>
            <w:tcMar>
              <w:top w:w="100" w:type="dxa"/>
              <w:start w:w="110" w:type="dxa"/>
              <w:bottom w:w="100" w:type="dxa"/>
              <w:end w:w="110" w:type="dxa"/>
            </w:tcMar>
          </w:tcPr>
          <w:p>
            <w:pPr>
              <w:spacing w:after="0"/>
            </w:pPr>
            <w:r>
              <w:rPr>
                <w:sz w:val="17"/>
              </w:rPr>
              <w:t>Nopea kokeilu, agentit, sovellukset ja uuden palvelukerroksen synty</w:t>
            </w:r>
          </w:p>
        </w:tc>
      </w:tr>
      <w:tr>
        <w:tc>
          <w:tcPr>
            <w:tcW w:type="dxa" w:w="3389"/>
            <w:tcMar>
              <w:top w:w="100" w:type="dxa"/>
              <w:start w:w="110" w:type="dxa"/>
              <w:bottom w:w="100" w:type="dxa"/>
              <w:end w:w="110" w:type="dxa"/>
            </w:tcMar>
            <w:shd w:fill="F5F8FA"/>
          </w:tcPr>
          <w:p>
            <w:pPr>
              <w:spacing w:after="0"/>
            </w:pPr>
            <w:r>
              <w:rPr>
                <w:sz w:val="17"/>
              </w:rPr>
              <w:t>Valmis chat/palvelu</w:t>
            </w:r>
          </w:p>
        </w:tc>
        <w:tc>
          <w:tcPr>
            <w:tcW w:type="dxa" w:w="3389"/>
            <w:tcMar>
              <w:top w:w="100" w:type="dxa"/>
              <w:start w:w="110" w:type="dxa"/>
              <w:bottom w:w="100" w:type="dxa"/>
              <w:end w:w="110" w:type="dxa"/>
            </w:tcMar>
            <w:shd w:fill="F5F8FA"/>
          </w:tcPr>
          <w:p>
            <w:pPr>
              <w:spacing w:after="0"/>
            </w:pPr>
            <w:r>
              <w:rPr>
                <w:sz w:val="17"/>
              </w:rPr>
              <w:t>Kaikki kansalaiset</w:t>
            </w:r>
          </w:p>
        </w:tc>
        <w:tc>
          <w:tcPr>
            <w:tcW w:type="dxa" w:w="3389"/>
            <w:tcMar>
              <w:top w:w="100" w:type="dxa"/>
              <w:start w:w="110" w:type="dxa"/>
              <w:bottom w:w="100" w:type="dxa"/>
              <w:end w:w="110" w:type="dxa"/>
            </w:tcMar>
            <w:shd w:fill="F5F8FA"/>
          </w:tcPr>
          <w:p>
            <w:pPr>
              <w:spacing w:after="0"/>
            </w:pPr>
            <w:r>
              <w:rPr>
                <w:sz w:val="17"/>
              </w:rPr>
              <w:t>AI-perustaidot ja tasa-arvoinen pääsy</w:t>
            </w:r>
          </w:p>
        </w:tc>
      </w:tr>
      <w:tr>
        <w:tc>
          <w:tcPr>
            <w:tcW w:type="dxa" w:w="3389"/>
            <w:tcMar>
              <w:top w:w="100" w:type="dxa"/>
              <w:start w:w="110" w:type="dxa"/>
              <w:bottom w:w="100" w:type="dxa"/>
              <w:end w:w="110" w:type="dxa"/>
            </w:tcMar>
          </w:tcPr>
          <w:p>
            <w:pPr>
              <w:spacing w:after="0"/>
            </w:pPr>
            <w:r>
              <w:rPr>
                <w:sz w:val="17"/>
              </w:rPr>
              <w:t>Kirjaston laitteilla käyttö</w:t>
            </w:r>
          </w:p>
        </w:tc>
        <w:tc>
          <w:tcPr>
            <w:tcW w:type="dxa" w:w="3389"/>
            <w:tcMar>
              <w:top w:w="100" w:type="dxa"/>
              <w:start w:w="110" w:type="dxa"/>
              <w:bottom w:w="100" w:type="dxa"/>
              <w:end w:w="110" w:type="dxa"/>
            </w:tcMar>
          </w:tcPr>
          <w:p>
            <w:pPr>
              <w:spacing w:after="0"/>
            </w:pPr>
            <w:r>
              <w:rPr>
                <w:sz w:val="17"/>
              </w:rPr>
              <w:t>Henkilöt joilla ei ole sopivaa omaa päätelaitetta</w:t>
            </w:r>
          </w:p>
        </w:tc>
        <w:tc>
          <w:tcPr>
            <w:tcW w:type="dxa" w:w="3389"/>
            <w:tcMar>
              <w:top w:w="100" w:type="dxa"/>
              <w:start w:w="110" w:type="dxa"/>
              <w:bottom w:w="100" w:type="dxa"/>
              <w:end w:w="110" w:type="dxa"/>
            </w:tcMar>
          </w:tcPr>
          <w:p>
            <w:pPr>
              <w:spacing w:after="0"/>
            </w:pPr>
            <w:r>
              <w:rPr>
                <w:sz w:val="17"/>
              </w:rPr>
              <w:t>Poistaa laite- ja saavutettavuusesteitä</w:t>
            </w:r>
          </w:p>
        </w:tc>
      </w:tr>
      <w:tr>
        <w:tc>
          <w:tcPr>
            <w:tcW w:type="dxa" w:w="3389"/>
            <w:tcMar>
              <w:top w:w="100" w:type="dxa"/>
              <w:start w:w="110" w:type="dxa"/>
              <w:bottom w:w="100" w:type="dxa"/>
              <w:end w:w="110" w:type="dxa"/>
            </w:tcMar>
            <w:shd w:fill="F5F8FA"/>
          </w:tcPr>
          <w:p>
            <w:pPr>
              <w:spacing w:after="0"/>
            </w:pPr>
            <w:r>
              <w:rPr>
                <w:sz w:val="17"/>
              </w:rPr>
              <w:t>Ohjatut AI-illat ja kurssit</w:t>
            </w:r>
          </w:p>
        </w:tc>
        <w:tc>
          <w:tcPr>
            <w:tcW w:type="dxa" w:w="3389"/>
            <w:tcMar>
              <w:top w:w="100" w:type="dxa"/>
              <w:start w:w="110" w:type="dxa"/>
              <w:bottom w:w="100" w:type="dxa"/>
              <w:end w:w="110" w:type="dxa"/>
            </w:tcMar>
            <w:shd w:fill="F5F8FA"/>
          </w:tcPr>
          <w:p>
            <w:pPr>
              <w:spacing w:after="0"/>
            </w:pPr>
            <w:r>
              <w:rPr>
                <w:sz w:val="17"/>
              </w:rPr>
              <w:t>Aloittelijat ja uutta käyttötapaa etsivät</w:t>
            </w:r>
          </w:p>
        </w:tc>
        <w:tc>
          <w:tcPr>
            <w:tcW w:type="dxa" w:w="3389"/>
            <w:tcMar>
              <w:top w:w="100" w:type="dxa"/>
              <w:start w:w="110" w:type="dxa"/>
              <w:bottom w:w="100" w:type="dxa"/>
              <w:end w:w="110" w:type="dxa"/>
            </w:tcMar>
            <w:shd w:fill="F5F8FA"/>
          </w:tcPr>
          <w:p>
            <w:pPr>
              <w:spacing w:after="0"/>
            </w:pPr>
            <w:r>
              <w:rPr>
                <w:sz w:val="17"/>
              </w:rPr>
              <w:t>Madaltavat osaamiskynnystä ja synnyttävät vertaistukea</w:t>
            </w:r>
          </w:p>
        </w:tc>
      </w:tr>
    </w:tbl>
    <w:p>
      <w:pPr>
        <w:spacing w:after="0"/>
      </w:pPr>
    </w:p>
    <w:p>
      <w:r>
        <w:br w:type="page"/>
      </w:r>
    </w:p>
    <w:p>
      <w:pPr>
        <w:pStyle w:val="Heading1"/>
      </w:pPr>
      <w:r>
        <w:t>5. Suvereniteetti suunnitteluperiaatteena</w:t>
      </w:r>
    </w:p>
    <w:p>
      <w:pPr>
        <w:pStyle w:val="Lead"/>
      </w:pPr>
      <w:r>
        <w:t>Suvereniteetti ei tässä tarkoita eristäytymistä kansainvälisestä teknologiasta. Se tarkoittaa kykyä tehdä valintoja, vaihtaa toimittajaa, hallita kriittistä infrastruktuuria ja tietää, missä data ja laskenta liikkuvat.</w:t>
      </w:r>
    </w:p>
    <w:p>
      <w:pPr>
        <w:pStyle w:val="ListBullet"/>
        <w:spacing w:after="40"/>
      </w:pPr>
      <w:r>
        <w:t>Kapasiteetin pitäisi mahdollisuuksien mukaan sijaita Suomessa tai EU/ETA-kehyksessä, jossa toimintaa voidaan hallita eurooppalaisin ehdoin.</w:t>
      </w:r>
    </w:p>
    <w:p>
      <w:pPr>
        <w:pStyle w:val="ListBullet"/>
        <w:spacing w:after="40"/>
      </w:pPr>
      <w:r>
        <w:t>Palvelun tulee tukea avoimia standardeja ja mahdollistaa mallien vaihtaminen ilman koko käyttäjä- ja palvelukerroksen uudelleenrakentamista.</w:t>
      </w:r>
    </w:p>
    <w:p>
      <w:pPr>
        <w:pStyle w:val="ListBullet"/>
        <w:spacing w:after="40"/>
      </w:pPr>
      <w:r>
        <w:t>Käyttäjän promptteja ja sisältöjä ei lähtökohtaisesti kerätä kansallisen seurannan tarkoituksiin.</w:t>
      </w:r>
    </w:p>
    <w:p>
      <w:pPr>
        <w:pStyle w:val="ListBullet"/>
        <w:spacing w:after="40"/>
      </w:pPr>
      <w:r>
        <w:t>Operointia voidaan ostaa ulkopuolelta, mutta arkkitehtuurin, sopimusten ja oikeuksien tulee estää yhden toimittajan pysyvä lukko.</w:t>
      </w:r>
    </w:p>
    <w:p>
      <w:pPr>
        <w:pStyle w:val="ListBullet"/>
        <w:spacing w:after="40"/>
      </w:pPr>
      <w:r>
        <w:t>Mallien lisenssiehdot ja avoimuuden taso on arvioitava erikseen. "Avoin malli" voi tarkoittaa eri asioita, joten pilotissa kannattaa määritellä hyväksyttävät lisenssi- ja käyttöehdot eksplisiittisesti.</w:t>
      </w:r>
    </w:p>
    <w:p>
      <w:r>
        <w:t>Kajaanissa sijaitseva LUMI on EuroHPC-yhteisyrityksen omistama eurooppalainen supertietokone, jota CSC operoi osana 11 maan konsortiota.³ Suomeen on lisäksi sijoitettu LUMI AI Factory -kokonaisuus, ja uuden LUMI-AI-järjestelmän käyttöönottoa valmistellaan. CSC:n mukaan ennen uuden järjestelmän käyttöönottoa LUMI AI Factory hyödyntää nykyistä LUMI-kapasiteettia.⁴ Tämä tekee Kajaanista luonnollisen paikan selvittää, voidaanko kansalaispilotille rakentaa oma tekninen kapasiteettikerros.</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Tärkeä rajaus</w:t>
            </w:r>
          </w:p>
          <w:p>
            <w:pPr>
              <w:pStyle w:val="Callout"/>
            </w:pPr>
            <w:r>
              <w:t>Whitepaper ei oleta, että LUMI on nykyisillä käyttöehdoillaan suoraan kansalaispalvelu. Ehdotus on, että CSC/LUMI-ekosysteemi arvioi toteutusmallin tai toimii teknisenä ankkurina ratkaisulle, joka täyttää suvereniteetti- ja operointiperiaatteet.</w:t>
            </w:r>
          </w:p>
        </w:tc>
      </w:tr>
    </w:tbl>
    <w:p>
      <w:pPr>
        <w:spacing w:after="0"/>
      </w:pPr>
    </w:p>
    <w:p>
      <w:r>
        <w:br w:type="page"/>
      </w:r>
    </w:p>
    <w:p>
      <w:pPr>
        <w:pStyle w:val="Heading1"/>
      </w:pPr>
      <w:r>
        <w:t>6. Tekninen minimiratkaisu</w:t>
      </w:r>
    </w:p>
    <w:p>
      <w:pPr>
        <w:pStyle w:val="Lead"/>
      </w:pPr>
      <w:r>
        <w:t>Ensimmäisen pilotin teknisen tavoitteen pitäisi olla tarkoituksella pieni. Arkkitehtuurin pitää olla laajennettavissa, mutta ensimmäinen versio ei tarvitse kaikkia tulevaisuuden ominaisuuksia.</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Kerros</w:t>
            </w:r>
          </w:p>
        </w:tc>
        <w:tc>
          <w:tcPr>
            <w:tcW w:type="dxa" w:w="5083"/>
            <w:shd w:fill="17324D"/>
            <w:tcMar>
              <w:top w:w="100" w:type="dxa"/>
              <w:start w:w="110" w:type="dxa"/>
              <w:bottom w:w="100" w:type="dxa"/>
              <w:end w:w="110" w:type="dxa"/>
            </w:tcMar>
          </w:tcPr>
          <w:p>
            <w:pPr>
              <w:jc w:val="left"/>
            </w:pPr>
            <w:r>
              <w:rPr>
                <w:b/>
                <w:color w:val="FFFFFF"/>
                <w:sz w:val="18"/>
              </w:rPr>
              <w:t>Minimivaatimus pilotissa</w:t>
            </w:r>
          </w:p>
        </w:tc>
      </w:tr>
      <w:tr>
        <w:tc>
          <w:tcPr>
            <w:tcW w:type="dxa" w:w="5083"/>
            <w:tcMar>
              <w:top w:w="100" w:type="dxa"/>
              <w:start w:w="110" w:type="dxa"/>
              <w:bottom w:w="100" w:type="dxa"/>
              <w:end w:w="110" w:type="dxa"/>
            </w:tcMar>
          </w:tcPr>
          <w:p>
            <w:pPr>
              <w:spacing w:after="0"/>
            </w:pPr>
            <w:r>
              <w:rPr>
                <w:sz w:val="17"/>
              </w:rPr>
              <w:t>Identiteetti</w:t>
            </w:r>
          </w:p>
        </w:tc>
        <w:tc>
          <w:tcPr>
            <w:tcW w:type="dxa" w:w="5083"/>
            <w:tcMar>
              <w:top w:w="100" w:type="dxa"/>
              <w:start w:w="110" w:type="dxa"/>
              <w:bottom w:w="100" w:type="dxa"/>
              <w:end w:w="110" w:type="dxa"/>
            </w:tcMar>
          </w:tcPr>
          <w:p>
            <w:pPr>
              <w:spacing w:after="0"/>
            </w:pPr>
            <w:r>
              <w:rPr>
                <w:sz w:val="17"/>
              </w:rPr>
              <w:t>Kirjastokortin voimassaolon tarkistus tai erillinen kertaluonteinen aktivointi kirjastokortin perusteella</w:t>
            </w:r>
          </w:p>
        </w:tc>
      </w:tr>
      <w:tr>
        <w:tc>
          <w:tcPr>
            <w:tcW w:type="dxa" w:w="5083"/>
            <w:tcMar>
              <w:top w:w="100" w:type="dxa"/>
              <w:start w:w="110" w:type="dxa"/>
              <w:bottom w:w="100" w:type="dxa"/>
              <w:end w:w="110" w:type="dxa"/>
            </w:tcMar>
            <w:shd w:fill="F5F8FA"/>
          </w:tcPr>
          <w:p>
            <w:pPr>
              <w:spacing w:after="0"/>
            </w:pPr>
            <w:r>
              <w:rPr>
                <w:sz w:val="17"/>
              </w:rPr>
              <w:t>Kapasiteettipalvelu</w:t>
            </w:r>
          </w:p>
        </w:tc>
        <w:tc>
          <w:tcPr>
            <w:tcW w:type="dxa" w:w="5083"/>
            <w:tcMar>
              <w:top w:w="100" w:type="dxa"/>
              <w:start w:w="110" w:type="dxa"/>
              <w:bottom w:w="100" w:type="dxa"/>
              <w:end w:w="110" w:type="dxa"/>
            </w:tcMar>
            <w:shd w:fill="F5F8FA"/>
          </w:tcPr>
          <w:p>
            <w:pPr>
              <w:spacing w:after="0"/>
            </w:pPr>
            <w:r>
              <w:rPr>
                <w:sz w:val="17"/>
              </w:rPr>
              <w:t>Yksi tai muutama hyväksytty avoin malli inference-käyttöön</w:t>
            </w:r>
          </w:p>
        </w:tc>
      </w:tr>
      <w:tr>
        <w:tc>
          <w:tcPr>
            <w:tcW w:type="dxa" w:w="5083"/>
            <w:tcMar>
              <w:top w:w="100" w:type="dxa"/>
              <w:start w:w="110" w:type="dxa"/>
              <w:bottom w:w="100" w:type="dxa"/>
              <w:end w:w="110" w:type="dxa"/>
            </w:tcMar>
          </w:tcPr>
          <w:p>
            <w:pPr>
              <w:spacing w:after="0"/>
            </w:pPr>
            <w:r>
              <w:rPr>
                <w:sz w:val="17"/>
              </w:rPr>
              <w:t>Rajapinta</w:t>
            </w:r>
          </w:p>
        </w:tc>
        <w:tc>
          <w:tcPr>
            <w:tcW w:type="dxa" w:w="5083"/>
            <w:tcMar>
              <w:top w:w="100" w:type="dxa"/>
              <w:start w:w="110" w:type="dxa"/>
              <w:bottom w:w="100" w:type="dxa"/>
              <w:end w:w="110" w:type="dxa"/>
            </w:tcMar>
          </w:tcPr>
          <w:p>
            <w:pPr>
              <w:spacing w:after="0"/>
            </w:pPr>
            <w:r>
              <w:rPr>
                <w:sz w:val="17"/>
              </w:rPr>
              <w:t>OpenAI-yhteensopiva tai muu laajasti tuettu API, jotta olemassa olevia työkaluja voidaan käyttää</w:t>
            </w:r>
          </w:p>
        </w:tc>
      </w:tr>
      <w:tr>
        <w:tc>
          <w:tcPr>
            <w:tcW w:type="dxa" w:w="5083"/>
            <w:tcMar>
              <w:top w:w="100" w:type="dxa"/>
              <w:start w:w="110" w:type="dxa"/>
              <w:bottom w:w="100" w:type="dxa"/>
              <w:end w:w="110" w:type="dxa"/>
            </w:tcMar>
            <w:shd w:fill="F5F8FA"/>
          </w:tcPr>
          <w:p>
            <w:pPr>
              <w:spacing w:after="0"/>
            </w:pPr>
            <w:r>
              <w:rPr>
                <w:sz w:val="17"/>
              </w:rPr>
              <w:t>Käyttöoikeus</w:t>
            </w:r>
          </w:p>
        </w:tc>
        <w:tc>
          <w:tcPr>
            <w:tcW w:type="dxa" w:w="5083"/>
            <w:tcMar>
              <w:top w:w="100" w:type="dxa"/>
              <w:start w:w="110" w:type="dxa"/>
              <w:bottom w:w="100" w:type="dxa"/>
              <w:end w:w="110" w:type="dxa"/>
            </w:tcMar>
            <w:shd w:fill="F5F8FA"/>
          </w:tcPr>
          <w:p>
            <w:pPr>
              <w:spacing w:after="0"/>
            </w:pPr>
            <w:r>
              <w:rPr>
                <w:sz w:val="17"/>
              </w:rPr>
              <w:t>Käyttäjäkohtainen API-avain ja käyttökiintiö</w:t>
            </w:r>
          </w:p>
        </w:tc>
      </w:tr>
      <w:tr>
        <w:tc>
          <w:tcPr>
            <w:tcW w:type="dxa" w:w="5083"/>
            <w:tcMar>
              <w:top w:w="100" w:type="dxa"/>
              <w:start w:w="110" w:type="dxa"/>
              <w:bottom w:w="100" w:type="dxa"/>
              <w:end w:w="110" w:type="dxa"/>
            </w:tcMar>
          </w:tcPr>
          <w:p>
            <w:pPr>
              <w:spacing w:after="0"/>
            </w:pPr>
            <w:r>
              <w:rPr>
                <w:sz w:val="17"/>
              </w:rPr>
              <w:t>Quota</w:t>
            </w:r>
          </w:p>
        </w:tc>
        <w:tc>
          <w:tcPr>
            <w:tcW w:type="dxa" w:w="5083"/>
            <w:tcMar>
              <w:top w:w="100" w:type="dxa"/>
              <w:start w:w="110" w:type="dxa"/>
              <w:bottom w:w="100" w:type="dxa"/>
              <w:end w:w="110" w:type="dxa"/>
            </w:tcMar>
          </w:tcPr>
          <w:p>
            <w:pPr>
              <w:spacing w:after="0"/>
            </w:pPr>
            <w:r>
              <w:rPr>
                <w:sz w:val="17"/>
              </w:rPr>
              <w:t>Esimerkiksi kuukausittainen token-, kustannus- tai laskenta-aikakiintiö</w:t>
            </w:r>
          </w:p>
        </w:tc>
      </w:tr>
      <w:tr>
        <w:tc>
          <w:tcPr>
            <w:tcW w:type="dxa" w:w="5083"/>
            <w:tcMar>
              <w:top w:w="100" w:type="dxa"/>
              <w:start w:w="110" w:type="dxa"/>
              <w:bottom w:w="100" w:type="dxa"/>
              <w:end w:w="110" w:type="dxa"/>
            </w:tcMar>
            <w:shd w:fill="F5F8FA"/>
          </w:tcPr>
          <w:p>
            <w:pPr>
              <w:spacing w:after="0"/>
            </w:pPr>
            <w:r>
              <w:rPr>
                <w:sz w:val="17"/>
              </w:rPr>
              <w:t>Turvallisuus</w:t>
            </w:r>
          </w:p>
        </w:tc>
        <w:tc>
          <w:tcPr>
            <w:tcW w:type="dxa" w:w="5083"/>
            <w:tcMar>
              <w:top w:w="100" w:type="dxa"/>
              <w:start w:w="110" w:type="dxa"/>
              <w:bottom w:w="100" w:type="dxa"/>
              <w:end w:w="110" w:type="dxa"/>
            </w:tcMar>
            <w:shd w:fill="F5F8FA"/>
          </w:tcPr>
          <w:p>
            <w:pPr>
              <w:spacing w:after="0"/>
            </w:pPr>
            <w:r>
              <w:rPr>
                <w:sz w:val="17"/>
              </w:rPr>
              <w:t>Rate limit, väärinkäyttörajoitukset, avaimen mitätöinti ja lokitus palvelun teknisestä toiminnasta</w:t>
            </w:r>
          </w:p>
        </w:tc>
      </w:tr>
      <w:tr>
        <w:tc>
          <w:tcPr>
            <w:tcW w:type="dxa" w:w="5083"/>
            <w:tcMar>
              <w:top w:w="100" w:type="dxa"/>
              <w:start w:w="110" w:type="dxa"/>
              <w:bottom w:w="100" w:type="dxa"/>
              <w:end w:w="110" w:type="dxa"/>
            </w:tcMar>
          </w:tcPr>
          <w:p>
            <w:pPr>
              <w:spacing w:after="0"/>
            </w:pPr>
            <w:r>
              <w:rPr>
                <w:sz w:val="17"/>
              </w:rPr>
              <w:t>Yksityisyys</w:t>
            </w:r>
          </w:p>
        </w:tc>
        <w:tc>
          <w:tcPr>
            <w:tcW w:type="dxa" w:w="5083"/>
            <w:tcMar>
              <w:top w:w="100" w:type="dxa"/>
              <w:start w:w="110" w:type="dxa"/>
              <w:bottom w:w="100" w:type="dxa"/>
              <w:end w:w="110" w:type="dxa"/>
            </w:tcMar>
          </w:tcPr>
          <w:p>
            <w:pPr>
              <w:spacing w:after="0"/>
            </w:pPr>
            <w:r>
              <w:rPr>
                <w:sz w:val="17"/>
              </w:rPr>
              <w:t>Sisältöjen tallentaminen oletuksena pois tai minimissä; selkeä säilytyspolitiikka</w:t>
            </w:r>
          </w:p>
        </w:tc>
      </w:tr>
      <w:tr>
        <w:tc>
          <w:tcPr>
            <w:tcW w:type="dxa" w:w="5083"/>
            <w:tcMar>
              <w:top w:w="100" w:type="dxa"/>
              <w:start w:w="110" w:type="dxa"/>
              <w:bottom w:w="100" w:type="dxa"/>
              <w:end w:w="110" w:type="dxa"/>
            </w:tcMar>
            <w:shd w:fill="F5F8FA"/>
          </w:tcPr>
          <w:p>
            <w:pPr>
              <w:spacing w:after="0"/>
            </w:pPr>
            <w:r>
              <w:rPr>
                <w:sz w:val="17"/>
              </w:rPr>
              <w:t>Tilastointi</w:t>
            </w:r>
          </w:p>
        </w:tc>
        <w:tc>
          <w:tcPr>
            <w:tcW w:type="dxa" w:w="5083"/>
            <w:tcMar>
              <w:top w:w="100" w:type="dxa"/>
              <w:start w:w="110" w:type="dxa"/>
              <w:bottom w:w="100" w:type="dxa"/>
              <w:end w:w="110" w:type="dxa"/>
            </w:tcMar>
            <w:shd w:fill="F5F8FA"/>
          </w:tcPr>
          <w:p>
            <w:pPr>
              <w:spacing w:after="0"/>
            </w:pPr>
            <w:r>
              <w:rPr>
                <w:sz w:val="17"/>
              </w:rPr>
              <w:t>Aggregoidut käyttömäärät, alue, mallityyppi ja mahdolliset vapaaehtoiset käyttökategoriat</w:t>
            </w:r>
          </w:p>
        </w:tc>
      </w:tr>
      <w:tr>
        <w:tc>
          <w:tcPr>
            <w:tcW w:type="dxa" w:w="5083"/>
            <w:tcMar>
              <w:top w:w="100" w:type="dxa"/>
              <w:start w:w="110" w:type="dxa"/>
              <w:bottom w:w="100" w:type="dxa"/>
              <w:end w:w="110" w:type="dxa"/>
            </w:tcMar>
          </w:tcPr>
          <w:p>
            <w:pPr>
              <w:spacing w:after="0"/>
            </w:pPr>
            <w:r>
              <w:rPr>
                <w:sz w:val="17"/>
              </w:rPr>
              <w:t>Käyttäjänäkymä</w:t>
            </w:r>
          </w:p>
        </w:tc>
        <w:tc>
          <w:tcPr>
            <w:tcW w:type="dxa" w:w="5083"/>
            <w:tcMar>
              <w:top w:w="100" w:type="dxa"/>
              <w:start w:w="110" w:type="dxa"/>
              <w:bottom w:w="100" w:type="dxa"/>
              <w:end w:w="110" w:type="dxa"/>
            </w:tcMar>
          </w:tcPr>
          <w:p>
            <w:pPr>
              <w:spacing w:after="0"/>
            </w:pPr>
            <w:r>
              <w:rPr>
                <w:sz w:val="17"/>
              </w:rPr>
              <w:t>Avaimen aktivointi, dokumentaatio, quota ja käyttöehdot</w:t>
            </w:r>
          </w:p>
        </w:tc>
      </w:tr>
    </w:tbl>
    <w:p>
      <w:pPr>
        <w:spacing w:after="0"/>
      </w:pPr>
    </w:p>
    <w:p>
      <w:pPr>
        <w:pStyle w:val="Heading2"/>
      </w:pPr>
      <w:r>
        <w:t>6.1 Kirjastokortin integraation ei tarvitse olla ensimmäisessä vaiheessa täydellinen</w:t>
      </w:r>
    </w:p>
    <w:p>
      <w:r>
        <w:t>Jos kirjastojärjestelmään tehtävä suora integraatio hidastaa pilottia, ensimmäinen versio voidaan toteuttaa kevyemmin. Esimerkiksi kirjasto voi vahvistaa asiakkuuden ja luoda aktivointikoodin, jonka käyttäjä lunastaa kapasiteettipalvelussa. Tärkeintä on todentaa konsepti, ei rakentaa heti valtakunnallista identiteettikerrosta.</w:t>
      </w:r>
    </w:p>
    <w:p>
      <w:pPr>
        <w:pStyle w:val="Heading2"/>
      </w:pPr>
      <w:r>
        <w:t>6.2 Käyttökiintiö</w:t>
      </w:r>
    </w:p>
    <w:p>
      <w:r>
        <w:t>Peruskiintiön tulee olla niin suuri, että sillä voi aidosti oppia ja rakentaa. Liian pieni ilmainen näyte ei tuota haluttua osaamisvaikutusta. Kiintiötä voidaan kasvattaa esimerkiksi hakemuksesta, opinto- tai projektikäyttöön, yhteisöllisiin hankkeisiin tai vapaaehtoisen laajemman tilastodatan jakamisen perusteella.</w:t>
      </w:r>
    </w:p>
    <w:p>
      <w:r>
        <w:br w:type="page"/>
      </w:r>
    </w:p>
    <w:p>
      <w:pPr>
        <w:pStyle w:val="Heading1"/>
      </w:pPr>
      <w:r>
        <w:t>7. Yksityisyys, seuranta ja kansallinen oppimissignaali</w:t>
      </w:r>
    </w:p>
    <w:p>
      <w:pPr>
        <w:pStyle w:val="Lead"/>
      </w:pPr>
      <w:r>
        <w:t>Pilotti voi tuottaa Suomelle poikkeuksellisen arvokasta reaaliaikaista tietoa AI:n käyttöönotosta ilman, että siitä tehdään henkilötietojen tai sisältöjen seurantajärjestelmää.</w:t>
      </w:r>
    </w:p>
    <w:p>
      <w:pPr>
        <w:pStyle w:val="Heading2"/>
      </w:pPr>
      <w:r>
        <w:t>7.1 Mitä ei lähtökohtaisesti kerätä</w:t>
      </w:r>
    </w:p>
    <w:p>
      <w:pPr>
        <w:pStyle w:val="ListBullet"/>
        <w:spacing w:after="40"/>
      </w:pPr>
      <w:r>
        <w:t>prompttien tai vastausten sisältöä kansallisen analyysin tarpeisiin</w:t>
      </w:r>
    </w:p>
    <w:p>
      <w:pPr>
        <w:pStyle w:val="ListBullet"/>
        <w:spacing w:after="40"/>
      </w:pPr>
      <w:r>
        <w:t>henkilökohtaisia projekteja tai IP:tä</w:t>
      </w:r>
    </w:p>
    <w:p>
      <w:pPr>
        <w:pStyle w:val="ListBullet"/>
        <w:spacing w:after="40"/>
      </w:pPr>
      <w:r>
        <w:t>tarpeettomia henkilötietoja</w:t>
      </w:r>
    </w:p>
    <w:p>
      <w:pPr>
        <w:pStyle w:val="ListBullet"/>
        <w:spacing w:after="40"/>
      </w:pPr>
      <w:r>
        <w:t>yksilötason käyttäytymisprofiileja.</w:t>
      </w:r>
    </w:p>
    <w:p>
      <w:pPr>
        <w:pStyle w:val="Heading2"/>
      </w:pPr>
      <w:r>
        <w:t>7.2 Mitä voidaan kerätä aggregoituna</w:t>
      </w:r>
    </w:p>
    <w:p>
      <w:pPr>
        <w:pStyle w:val="ListBullet"/>
        <w:spacing w:after="40"/>
      </w:pPr>
      <w:r>
        <w:t>käyttömäärä alueittain ja kirjastoverkostoittain</w:t>
      </w:r>
    </w:p>
    <w:p>
      <w:pPr>
        <w:pStyle w:val="ListBullet"/>
        <w:spacing w:after="40"/>
      </w:pPr>
      <w:r>
        <w:t>aktiivisten käyttäjien määrä</w:t>
      </w:r>
    </w:p>
    <w:p>
      <w:pPr>
        <w:pStyle w:val="ListBullet"/>
        <w:spacing w:after="40"/>
      </w:pPr>
      <w:r>
        <w:t>token- tai laskentakapasiteetin kulutus</w:t>
      </w:r>
    </w:p>
    <w:p>
      <w:pPr>
        <w:pStyle w:val="ListBullet"/>
        <w:spacing w:after="40"/>
      </w:pPr>
      <w:r>
        <w:t>käytetyt mallit ja tekniset rajapinnat</w:t>
      </w:r>
    </w:p>
    <w:p>
      <w:pPr>
        <w:pStyle w:val="ListBullet"/>
        <w:spacing w:after="40"/>
      </w:pPr>
      <w:r>
        <w:t>ajallinen käyttöjakauma</w:t>
      </w:r>
    </w:p>
    <w:p>
      <w:pPr>
        <w:pStyle w:val="ListBullet"/>
        <w:spacing w:after="40"/>
      </w:pPr>
      <w:r>
        <w:t>vapaaehtoisesti ilmoitettu käyttökategoria, kuten opiskelu, yritystoiminta, ohjelmointi, luova työ tai arjen asiointi</w:t>
      </w:r>
    </w:p>
    <w:p>
      <w:pPr>
        <w:pStyle w:val="ListBullet"/>
        <w:spacing w:after="40"/>
      </w:pPr>
      <w:r>
        <w:t>koulutukseen ja kapasiteettiin liittyvät kysyntäsignaalit.</w:t>
      </w:r>
    </w:p>
    <w:p>
      <w:r>
        <w:t>Tilastollisen näkymän arvo kasvaa, jos palvelu on aidosti matalan kynnyksen palvelu. Maksullisiin kaupallisiin palveluihin perustuva käyttödata kertoo vain niistä, joilla on halu ja kyky maksaa. Kirjastopohjainen palvelu voi tuottaa laajemman kuvan siitä, missä kysyntää syntyy, kun raha ja laite eivät ole ensimmäisiä esteitä.</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Vapaaehtoinen syvempi oppimistaso</w:t>
            </w:r>
          </w:p>
          <w:p>
            <w:pPr>
              <w:pStyle w:val="Callout"/>
            </w:pPr>
            <w:r>
              <w:t>Käyttäjä voisi halutessaan jakaa tavallista enemmän anonymisoitua käyttökontekstia pilotin kehittämiseksi ja saada vastineeksi suuremman kapasiteettikiintiön. Tällainen malli edellyttää läpinäkyvää suostumusta, tietosuojasuunnittelua ja sitä, ettei yksittäisen käyttäjän sisältöjä tehdä analytiikan raaka-aineeksi.</w:t>
            </w:r>
          </w:p>
        </w:tc>
      </w:tr>
    </w:tbl>
    <w:p>
      <w:pPr>
        <w:spacing w:after="0"/>
      </w:pPr>
    </w:p>
    <w:p>
      <w:r>
        <w:br w:type="page"/>
      </w:r>
    </w:p>
    <w:p>
      <w:pPr>
        <w:pStyle w:val="Heading1"/>
      </w:pPr>
      <w:r>
        <w:t>8. Koulutus ja yhteisöllinen oppiminen</w:t>
      </w:r>
    </w:p>
    <w:p>
      <w:pPr>
        <w:pStyle w:val="Lead"/>
      </w:pPr>
      <w:r>
        <w:t>Koulutuspalvelut ovat tärkeä kerros, mutta niiden ei tarvitse olla pilotin käynnistymisen ehto. Kapasiteetti ensin, tukipalvelut sen ympärille.</w:t>
      </w:r>
    </w:p>
    <w:p>
      <w:r>
        <w:t>Kirjastot voivat järjestää esimerkiksi AI-iltoja, avoimia klinikoita, rakentajailtoja, aloittelijoiden opastusta ja teemakohtaisia tapahtumia. Paikalliset yritykset, oppilaitokset, yhdistykset ja asiantuntijat voivat osallistua koulutukseen. Näin palvelu ei jää passiiviseksi digipalveluksi, vaan se voi synnyttää paikallisia oppimisyhteisöjä.</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Toiminta</w:t>
            </w:r>
          </w:p>
        </w:tc>
        <w:tc>
          <w:tcPr>
            <w:tcW w:type="dxa" w:w="5083"/>
            <w:shd w:fill="17324D"/>
            <w:tcMar>
              <w:top w:w="100" w:type="dxa"/>
              <w:start w:w="110" w:type="dxa"/>
              <w:bottom w:w="100" w:type="dxa"/>
              <w:end w:w="110" w:type="dxa"/>
            </w:tcMar>
          </w:tcPr>
          <w:p>
            <w:pPr>
              <w:jc w:val="left"/>
            </w:pPr>
            <w:r>
              <w:rPr>
                <w:b/>
                <w:color w:val="FFFFFF"/>
                <w:sz w:val="18"/>
              </w:rPr>
              <w:t>Esimerkki</w:t>
            </w:r>
          </w:p>
        </w:tc>
      </w:tr>
      <w:tr>
        <w:tc>
          <w:tcPr>
            <w:tcW w:type="dxa" w:w="5083"/>
            <w:tcMar>
              <w:top w:w="100" w:type="dxa"/>
              <w:start w:w="110" w:type="dxa"/>
              <w:bottom w:w="100" w:type="dxa"/>
              <w:end w:w="110" w:type="dxa"/>
            </w:tcMar>
          </w:tcPr>
          <w:p>
            <w:pPr>
              <w:spacing w:after="0"/>
            </w:pPr>
            <w:r>
              <w:rPr>
                <w:sz w:val="17"/>
              </w:rPr>
              <w:t>AI-ilta</w:t>
            </w:r>
          </w:p>
        </w:tc>
        <w:tc>
          <w:tcPr>
            <w:tcW w:type="dxa" w:w="5083"/>
            <w:tcMar>
              <w:top w:w="100" w:type="dxa"/>
              <w:start w:w="110" w:type="dxa"/>
              <w:bottom w:w="100" w:type="dxa"/>
              <w:end w:w="110" w:type="dxa"/>
            </w:tcMar>
          </w:tcPr>
          <w:p>
            <w:pPr>
              <w:spacing w:after="0"/>
            </w:pPr>
            <w:r>
              <w:rPr>
                <w:sz w:val="17"/>
              </w:rPr>
              <w:t>Miten käytän omaa API-avaintani turvallisesti</w:t>
            </w:r>
          </w:p>
        </w:tc>
      </w:tr>
      <w:tr>
        <w:tc>
          <w:tcPr>
            <w:tcW w:type="dxa" w:w="5083"/>
            <w:tcMar>
              <w:top w:w="100" w:type="dxa"/>
              <w:start w:w="110" w:type="dxa"/>
              <w:bottom w:w="100" w:type="dxa"/>
              <w:end w:w="110" w:type="dxa"/>
            </w:tcMar>
            <w:shd w:fill="F5F8FA"/>
          </w:tcPr>
          <w:p>
            <w:pPr>
              <w:spacing w:after="0"/>
            </w:pPr>
            <w:r>
              <w:rPr>
                <w:sz w:val="17"/>
              </w:rPr>
              <w:t>Aloittelijan klinikka</w:t>
            </w:r>
          </w:p>
        </w:tc>
        <w:tc>
          <w:tcPr>
            <w:tcW w:type="dxa" w:w="5083"/>
            <w:tcMar>
              <w:top w:w="100" w:type="dxa"/>
              <w:start w:w="110" w:type="dxa"/>
              <w:bottom w:w="100" w:type="dxa"/>
              <w:end w:w="110" w:type="dxa"/>
            </w:tcMar>
            <w:shd w:fill="F5F8FA"/>
          </w:tcPr>
          <w:p>
            <w:pPr>
              <w:spacing w:after="0"/>
            </w:pPr>
            <w:r>
              <w:rPr>
                <w:sz w:val="17"/>
              </w:rPr>
              <w:t>Ensimmäiset käytännön tehtävät tekoälyn kanssa</w:t>
            </w:r>
          </w:p>
        </w:tc>
      </w:tr>
      <w:tr>
        <w:tc>
          <w:tcPr>
            <w:tcW w:type="dxa" w:w="5083"/>
            <w:tcMar>
              <w:top w:w="100" w:type="dxa"/>
              <w:start w:w="110" w:type="dxa"/>
              <w:bottom w:w="100" w:type="dxa"/>
              <w:end w:w="110" w:type="dxa"/>
            </w:tcMar>
          </w:tcPr>
          <w:p>
            <w:pPr>
              <w:spacing w:after="0"/>
            </w:pPr>
            <w:r>
              <w:rPr>
                <w:sz w:val="17"/>
              </w:rPr>
              <w:t>Rakentajailta</w:t>
            </w:r>
          </w:p>
        </w:tc>
        <w:tc>
          <w:tcPr>
            <w:tcW w:type="dxa" w:w="5083"/>
            <w:tcMar>
              <w:top w:w="100" w:type="dxa"/>
              <w:start w:w="110" w:type="dxa"/>
              <w:bottom w:w="100" w:type="dxa"/>
              <w:end w:w="110" w:type="dxa"/>
            </w:tcMar>
          </w:tcPr>
          <w:p>
            <w:pPr>
              <w:spacing w:after="0"/>
            </w:pPr>
            <w:r>
              <w:rPr>
                <w:sz w:val="17"/>
              </w:rPr>
              <w:t>Agentit, automaatiot ja omat sovellukset</w:t>
            </w:r>
          </w:p>
        </w:tc>
      </w:tr>
      <w:tr>
        <w:tc>
          <w:tcPr>
            <w:tcW w:type="dxa" w:w="5083"/>
            <w:tcMar>
              <w:top w:w="100" w:type="dxa"/>
              <w:start w:w="110" w:type="dxa"/>
              <w:bottom w:w="100" w:type="dxa"/>
              <w:end w:w="110" w:type="dxa"/>
            </w:tcMar>
            <w:shd w:fill="F5F8FA"/>
          </w:tcPr>
          <w:p>
            <w:pPr>
              <w:spacing w:after="0"/>
            </w:pPr>
            <w:r>
              <w:rPr>
                <w:sz w:val="17"/>
              </w:rPr>
              <w:t>Yrittäjäilta</w:t>
            </w:r>
          </w:p>
        </w:tc>
        <w:tc>
          <w:tcPr>
            <w:tcW w:type="dxa" w:w="5083"/>
            <w:tcMar>
              <w:top w:w="100" w:type="dxa"/>
              <w:start w:w="110" w:type="dxa"/>
              <w:bottom w:w="100" w:type="dxa"/>
              <w:end w:w="110" w:type="dxa"/>
            </w:tcMar>
            <w:shd w:fill="F5F8FA"/>
          </w:tcPr>
          <w:p>
            <w:pPr>
              <w:spacing w:after="0"/>
            </w:pPr>
            <w:r>
              <w:rPr>
                <w:sz w:val="17"/>
              </w:rPr>
              <w:t>Miten AI-kapasiteettia voi käyttää yrityksen prosesseissa</w:t>
            </w:r>
          </w:p>
        </w:tc>
      </w:tr>
      <w:tr>
        <w:tc>
          <w:tcPr>
            <w:tcW w:type="dxa" w:w="5083"/>
            <w:tcMar>
              <w:top w:w="100" w:type="dxa"/>
              <w:start w:w="110" w:type="dxa"/>
              <w:bottom w:w="100" w:type="dxa"/>
              <w:end w:w="110" w:type="dxa"/>
            </w:tcMar>
          </w:tcPr>
          <w:p>
            <w:pPr>
              <w:spacing w:after="0"/>
            </w:pPr>
            <w:r>
              <w:rPr>
                <w:sz w:val="17"/>
              </w:rPr>
              <w:t>Nuorten työpaja</w:t>
            </w:r>
          </w:p>
        </w:tc>
        <w:tc>
          <w:tcPr>
            <w:tcW w:type="dxa" w:w="5083"/>
            <w:tcMar>
              <w:top w:w="100" w:type="dxa"/>
              <w:start w:w="110" w:type="dxa"/>
              <w:bottom w:w="100" w:type="dxa"/>
              <w:end w:w="110" w:type="dxa"/>
            </w:tcMar>
          </w:tcPr>
          <w:p>
            <w:pPr>
              <w:spacing w:after="0"/>
            </w:pPr>
            <w:r>
              <w:rPr>
                <w:sz w:val="17"/>
              </w:rPr>
              <w:t>Omat sovellukset ja vastuullinen AI-käyttö</w:t>
            </w:r>
          </w:p>
        </w:tc>
      </w:tr>
      <w:tr>
        <w:tc>
          <w:tcPr>
            <w:tcW w:type="dxa" w:w="5083"/>
            <w:tcMar>
              <w:top w:w="100" w:type="dxa"/>
              <w:start w:w="110" w:type="dxa"/>
              <w:bottom w:w="100" w:type="dxa"/>
              <w:end w:w="110" w:type="dxa"/>
            </w:tcMar>
            <w:shd w:fill="F5F8FA"/>
          </w:tcPr>
          <w:p>
            <w:pPr>
              <w:spacing w:after="0"/>
            </w:pPr>
            <w:r>
              <w:rPr>
                <w:sz w:val="17"/>
              </w:rPr>
              <w:t>Seniorien digituki</w:t>
            </w:r>
          </w:p>
        </w:tc>
        <w:tc>
          <w:tcPr>
            <w:tcW w:type="dxa" w:w="5083"/>
            <w:tcMar>
              <w:top w:w="100" w:type="dxa"/>
              <w:start w:w="110" w:type="dxa"/>
              <w:bottom w:w="100" w:type="dxa"/>
              <w:end w:w="110" w:type="dxa"/>
            </w:tcMar>
            <w:shd w:fill="F5F8FA"/>
          </w:tcPr>
          <w:p>
            <w:pPr>
              <w:spacing w:after="0"/>
            </w:pPr>
            <w:r>
              <w:rPr>
                <w:sz w:val="17"/>
              </w:rPr>
              <w:t>AI arjen apuna turvallisesti</w:t>
            </w:r>
          </w:p>
        </w:tc>
      </w:tr>
    </w:tbl>
    <w:p>
      <w:pPr>
        <w:spacing w:after="0"/>
      </w:pPr>
    </w:p>
    <w:p>
      <w:r>
        <w:t>Koulutus voidaan kohdentaa käyttödatasta nousevien signaalien perusteella. Jos esimerkiksi tietyllä alueella rakentajakäyttö kasvaa, sinne voidaan tuoda teknisempää tukea. Jos taas palvelu aktivoituu vahvasti ikääntyneiden tai pienyrittäjien käytössä, koulutusta voidaan rakentaa heidän todellisten tarpeidensa ympärille.</w:t>
      </w:r>
    </w:p>
    <w:p>
      <w:r>
        <w:br w:type="page"/>
      </w:r>
    </w:p>
    <w:p>
      <w:pPr>
        <w:pStyle w:val="Heading1"/>
      </w:pPr>
      <w:r>
        <w:t>9. Taloudellinen näkökulma</w:t>
      </w:r>
    </w:p>
    <w:p>
      <w:pPr>
        <w:pStyle w:val="Lead"/>
      </w:pPr>
      <w:r>
        <w:t>Kasvusta keskusteltaessa huomio kiinnittyy usein siihen, kuinka paljon rahaa Suomeen saadaan viennillä ja investoinneilla. Kansantalouden kannalta myös toinen suunta on merkityksellinen: kuinka paljon kotimaista kulutusta ja tuotannon arvoa virtaa jatkuvasti ulkomaille.</w:t>
      </w:r>
    </w:p>
    <w:p>
      <w:r>
        <w:t>AI-palveluiden kulutuksen kasvaessa suomalaiset kuluttajat ja yritykset ostavat yhä enemmän ulkomaisia ohjelmisto- ja kapasiteettipalveluita. Tämä on suurelta osin luonnollista ja myös hyödyllistä. Tavoite ei ole estää sitä. Mutta jos osa käytöstä voidaan toteuttaa Suomessa tai eurooppalaisessa infrastruktuurissa kilpailukykyisesti, osa rahavirrasta, osaamisesta ja palvelukerroksesta voi jäädä lähemmäs kotimaista taloutta.</w:t>
      </w:r>
    </w:p>
    <w:p>
      <w:r>
        <w:t>Konseptuaalisesti tämä kannattaa nähdä samassa taloudellisessa kehyksessä kuin vienti, vaikka kansantalouden kirjanpidossa mekanismit eivät ole identtisiä: ulkomailta saatu uusi tulovirta ja ulkomaille suuntautuvan tuontipalvelukulutuksen korvautuminen kotimaisella tai eurooppalaisella tuotannolla molemmat voivat vahvistaa kotimaassa kiertävää taloudellista aktiviteettia. Pilotin tehtävä ei ole asettaa tavoiteprosenttia, vaan tuottaa ensimmäistä kertaa näkyvyyttä AI-kapasiteetin kysyntään ja vaihtoehtoisen tarjonnan käyttöön.</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Taloudellinen signaali</w:t>
            </w:r>
          </w:p>
        </w:tc>
        <w:tc>
          <w:tcPr>
            <w:tcW w:type="dxa" w:w="5083"/>
            <w:shd w:fill="17324D"/>
            <w:tcMar>
              <w:top w:w="100" w:type="dxa"/>
              <w:start w:w="110" w:type="dxa"/>
              <w:bottom w:w="100" w:type="dxa"/>
              <w:end w:w="110" w:type="dxa"/>
            </w:tcMar>
          </w:tcPr>
          <w:p>
            <w:pPr>
              <w:jc w:val="left"/>
            </w:pPr>
            <w:r>
              <w:rPr>
                <w:b/>
                <w:color w:val="FFFFFF"/>
                <w:sz w:val="18"/>
              </w:rPr>
              <w:t>Mitä voidaan oppia</w:t>
            </w:r>
          </w:p>
        </w:tc>
      </w:tr>
      <w:tr>
        <w:tc>
          <w:tcPr>
            <w:tcW w:type="dxa" w:w="5083"/>
            <w:tcMar>
              <w:top w:w="100" w:type="dxa"/>
              <w:start w:w="110" w:type="dxa"/>
              <w:bottom w:w="100" w:type="dxa"/>
              <w:end w:w="110" w:type="dxa"/>
            </w:tcMar>
          </w:tcPr>
          <w:p>
            <w:pPr>
              <w:spacing w:after="0"/>
            </w:pPr>
            <w:r>
              <w:rPr>
                <w:sz w:val="17"/>
              </w:rPr>
              <w:t>Kotimaisen/eurooppalaisen kapasiteetin käyttöaste</w:t>
            </w:r>
          </w:p>
        </w:tc>
        <w:tc>
          <w:tcPr>
            <w:tcW w:type="dxa" w:w="5083"/>
            <w:tcMar>
              <w:top w:w="100" w:type="dxa"/>
              <w:start w:w="110" w:type="dxa"/>
              <w:bottom w:w="100" w:type="dxa"/>
              <w:end w:w="110" w:type="dxa"/>
            </w:tcMar>
          </w:tcPr>
          <w:p>
            <w:pPr>
              <w:spacing w:after="0"/>
            </w:pPr>
            <w:r>
              <w:rPr>
                <w:sz w:val="17"/>
              </w:rPr>
              <w:t>Kuinka paljon kysyntää voidaan palvella vaihtoehtoisesti</w:t>
            </w:r>
          </w:p>
        </w:tc>
      </w:tr>
      <w:tr>
        <w:tc>
          <w:tcPr>
            <w:tcW w:type="dxa" w:w="5083"/>
            <w:tcMar>
              <w:top w:w="100" w:type="dxa"/>
              <w:start w:w="110" w:type="dxa"/>
              <w:bottom w:w="100" w:type="dxa"/>
              <w:end w:w="110" w:type="dxa"/>
            </w:tcMar>
            <w:shd w:fill="F5F8FA"/>
          </w:tcPr>
          <w:p>
            <w:pPr>
              <w:spacing w:after="0"/>
            </w:pPr>
            <w:r>
              <w:rPr>
                <w:sz w:val="17"/>
              </w:rPr>
              <w:t>Käyttäjäsegmentit</w:t>
            </w:r>
          </w:p>
        </w:tc>
        <w:tc>
          <w:tcPr>
            <w:tcW w:type="dxa" w:w="5083"/>
            <w:tcMar>
              <w:top w:w="100" w:type="dxa"/>
              <w:start w:w="110" w:type="dxa"/>
              <w:bottom w:w="100" w:type="dxa"/>
              <w:end w:w="110" w:type="dxa"/>
            </w:tcMar>
            <w:shd w:fill="F5F8FA"/>
          </w:tcPr>
          <w:p>
            <w:pPr>
              <w:spacing w:after="0"/>
            </w:pPr>
            <w:r>
              <w:rPr>
                <w:sz w:val="17"/>
              </w:rPr>
              <w:t>Missä ryhmissä maksullinen jatkopalvelu tai yrityspalvelu voisi syntyä</w:t>
            </w:r>
          </w:p>
        </w:tc>
      </w:tr>
      <w:tr>
        <w:tc>
          <w:tcPr>
            <w:tcW w:type="dxa" w:w="5083"/>
            <w:tcMar>
              <w:top w:w="100" w:type="dxa"/>
              <w:start w:w="110" w:type="dxa"/>
              <w:bottom w:w="100" w:type="dxa"/>
              <w:end w:w="110" w:type="dxa"/>
            </w:tcMar>
          </w:tcPr>
          <w:p>
            <w:pPr>
              <w:spacing w:after="0"/>
            </w:pPr>
            <w:r>
              <w:rPr>
                <w:sz w:val="17"/>
              </w:rPr>
              <w:t>Kapasiteettikustannus per aktiivinen käyttäjä</w:t>
            </w:r>
          </w:p>
        </w:tc>
        <w:tc>
          <w:tcPr>
            <w:tcW w:type="dxa" w:w="5083"/>
            <w:tcMar>
              <w:top w:w="100" w:type="dxa"/>
              <w:start w:w="110" w:type="dxa"/>
              <w:bottom w:w="100" w:type="dxa"/>
              <w:end w:w="110" w:type="dxa"/>
            </w:tcMar>
          </w:tcPr>
          <w:p>
            <w:pPr>
              <w:spacing w:after="0"/>
            </w:pPr>
            <w:r>
              <w:rPr>
                <w:sz w:val="17"/>
              </w:rPr>
              <w:t>Miten palvelu kannattaa skaalata</w:t>
            </w:r>
          </w:p>
        </w:tc>
      </w:tr>
      <w:tr>
        <w:tc>
          <w:tcPr>
            <w:tcW w:type="dxa" w:w="5083"/>
            <w:tcMar>
              <w:top w:w="100" w:type="dxa"/>
              <w:start w:w="110" w:type="dxa"/>
              <w:bottom w:w="100" w:type="dxa"/>
              <w:end w:w="110" w:type="dxa"/>
            </w:tcMar>
            <w:shd w:fill="F5F8FA"/>
          </w:tcPr>
          <w:p>
            <w:pPr>
              <w:spacing w:after="0"/>
            </w:pPr>
            <w:r>
              <w:rPr>
                <w:sz w:val="17"/>
              </w:rPr>
              <w:t>Yrityskäytön kasvu</w:t>
            </w:r>
          </w:p>
        </w:tc>
        <w:tc>
          <w:tcPr>
            <w:tcW w:type="dxa" w:w="5083"/>
            <w:tcMar>
              <w:top w:w="100" w:type="dxa"/>
              <w:start w:w="110" w:type="dxa"/>
              <w:bottom w:w="100" w:type="dxa"/>
              <w:end w:w="110" w:type="dxa"/>
            </w:tcMar>
            <w:shd w:fill="F5F8FA"/>
          </w:tcPr>
          <w:p>
            <w:pPr>
              <w:spacing w:after="0"/>
            </w:pPr>
            <w:r>
              <w:rPr>
                <w:sz w:val="17"/>
              </w:rPr>
              <w:t>Voiko pilotista syntyä pk-yrityksille uusi AI-infrastruktuurikerros</w:t>
            </w:r>
          </w:p>
        </w:tc>
      </w:tr>
      <w:tr>
        <w:tc>
          <w:tcPr>
            <w:tcW w:type="dxa" w:w="5083"/>
            <w:tcMar>
              <w:top w:w="100" w:type="dxa"/>
              <w:start w:w="110" w:type="dxa"/>
              <w:bottom w:w="100" w:type="dxa"/>
              <w:end w:w="110" w:type="dxa"/>
            </w:tcMar>
          </w:tcPr>
          <w:p>
            <w:pPr>
              <w:spacing w:after="0"/>
            </w:pPr>
            <w:r>
              <w:rPr>
                <w:sz w:val="17"/>
              </w:rPr>
              <w:t>Uudet paikalliset palvelut</w:t>
            </w:r>
          </w:p>
        </w:tc>
        <w:tc>
          <w:tcPr>
            <w:tcW w:type="dxa" w:w="5083"/>
            <w:tcMar>
              <w:top w:w="100" w:type="dxa"/>
              <w:start w:w="110" w:type="dxa"/>
              <w:bottom w:w="100" w:type="dxa"/>
              <w:end w:w="110" w:type="dxa"/>
            </w:tcMar>
          </w:tcPr>
          <w:p>
            <w:pPr>
              <w:spacing w:after="0"/>
            </w:pPr>
            <w:r>
              <w:rPr>
                <w:sz w:val="17"/>
              </w:rPr>
              <w:t>Syntyykö kapasiteetin ympärille sovelluksia, koulutusta ja palveluyrityksiä</w:t>
            </w:r>
          </w:p>
        </w:tc>
      </w:tr>
    </w:tbl>
    <w:p>
      <w:pPr>
        <w:spacing w:after="0"/>
      </w:pPr>
    </w:p>
    <w:p>
      <w:r>
        <w:br w:type="page"/>
      </w:r>
    </w:p>
    <w:p>
      <w:pPr>
        <w:pStyle w:val="Heading1"/>
      </w:pPr>
      <w:r>
        <w:t>10. Kansallinen pilotointi ja skaalaus</w:t>
      </w:r>
    </w:p>
    <w:p>
      <w:pPr>
        <w:pStyle w:val="Lead"/>
      </w:pPr>
      <w:r>
        <w:t>Pilotin ei tarvitse odottaa yhtä valtakunnallista päätöstä. Nopein malli on käynnistää useita keskustelureittejä yhtä aikaa ja toteuttaa ensimmäinen tuotantokelpoinen pilotti sen kumppanin kanssa, joka pystyy etenemään nopeimmin.</w:t>
      </w:r>
    </w:p>
    <w:p>
      <w:pPr>
        <w:pStyle w:val="Heading2"/>
      </w:pPr>
      <w:r>
        <w:t>10.1 Mahdolliset rinnakkaiset alueet</w:t>
      </w:r>
    </w:p>
    <w:p>
      <w:r>
        <w:t>Käytännön yhteysverkoston ja infrastruktuurin näkökulmasta luontevia suuntia ovat esimerkiksi Kajaani, Oulu, Joensuu, pääkaupunkiseutu, Turku ja Tampere. Näitä ei tarvitse asettaa paremmuusjärjestykseen. Tavoite on luoda useita reittejä ja saada nopeasti yksi tai useampi toteutus liikkeelle.</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Alue</w:t>
            </w:r>
          </w:p>
        </w:tc>
        <w:tc>
          <w:tcPr>
            <w:tcW w:type="dxa" w:w="5083"/>
            <w:shd w:fill="17324D"/>
            <w:tcMar>
              <w:top w:w="100" w:type="dxa"/>
              <w:start w:w="110" w:type="dxa"/>
              <w:bottom w:w="100" w:type="dxa"/>
              <w:end w:w="110" w:type="dxa"/>
            </w:tcMar>
          </w:tcPr>
          <w:p>
            <w:pPr>
              <w:jc w:val="left"/>
            </w:pPr>
            <w:r>
              <w:rPr>
                <w:b/>
                <w:color w:val="FFFFFF"/>
                <w:sz w:val="18"/>
              </w:rPr>
              <w:t>Mahdollinen rooli konseptissa</w:t>
            </w:r>
          </w:p>
        </w:tc>
      </w:tr>
      <w:tr>
        <w:tc>
          <w:tcPr>
            <w:tcW w:type="dxa" w:w="5083"/>
            <w:tcMar>
              <w:top w:w="100" w:type="dxa"/>
              <w:start w:w="110" w:type="dxa"/>
              <w:bottom w:w="100" w:type="dxa"/>
              <w:end w:w="110" w:type="dxa"/>
            </w:tcMar>
          </w:tcPr>
          <w:p>
            <w:pPr>
              <w:spacing w:after="0"/>
            </w:pPr>
            <w:r>
              <w:rPr>
                <w:sz w:val="17"/>
              </w:rPr>
              <w:t>Kajaani</w:t>
            </w:r>
          </w:p>
        </w:tc>
        <w:tc>
          <w:tcPr>
            <w:tcW w:type="dxa" w:w="5083"/>
            <w:tcMar>
              <w:top w:w="100" w:type="dxa"/>
              <w:start w:w="110" w:type="dxa"/>
              <w:bottom w:w="100" w:type="dxa"/>
              <w:end w:w="110" w:type="dxa"/>
            </w:tcMar>
          </w:tcPr>
          <w:p>
            <w:pPr>
              <w:spacing w:after="0"/>
            </w:pPr>
            <w:r>
              <w:rPr>
                <w:sz w:val="17"/>
              </w:rPr>
              <w:t>LUMI/LUMI AI Factory -infrastruktuurin fyysinen kotipaikka ja suvereniteettitarinan ankkuri</w:t>
            </w:r>
          </w:p>
        </w:tc>
      </w:tr>
      <w:tr>
        <w:tc>
          <w:tcPr>
            <w:tcW w:type="dxa" w:w="5083"/>
            <w:tcMar>
              <w:top w:w="100" w:type="dxa"/>
              <w:start w:w="110" w:type="dxa"/>
              <w:bottom w:w="100" w:type="dxa"/>
              <w:end w:w="110" w:type="dxa"/>
            </w:tcMar>
            <w:shd w:fill="F5F8FA"/>
          </w:tcPr>
          <w:p>
            <w:pPr>
              <w:spacing w:after="0"/>
            </w:pPr>
            <w:r>
              <w:rPr>
                <w:sz w:val="17"/>
              </w:rPr>
              <w:t>Oulu</w:t>
            </w:r>
          </w:p>
        </w:tc>
        <w:tc>
          <w:tcPr>
            <w:tcW w:type="dxa" w:w="5083"/>
            <w:tcMar>
              <w:top w:w="100" w:type="dxa"/>
              <w:start w:w="110" w:type="dxa"/>
              <w:bottom w:w="100" w:type="dxa"/>
              <w:end w:w="110" w:type="dxa"/>
            </w:tcMar>
            <w:shd w:fill="F5F8FA"/>
          </w:tcPr>
          <w:p>
            <w:pPr>
              <w:spacing w:after="0"/>
            </w:pPr>
            <w:r>
              <w:rPr>
                <w:sz w:val="17"/>
              </w:rPr>
              <w:t>Teknologia- ja AI-ekosysteemi sekä pohjoisen Suomen pilotointireitti</w:t>
            </w:r>
          </w:p>
        </w:tc>
      </w:tr>
      <w:tr>
        <w:tc>
          <w:tcPr>
            <w:tcW w:type="dxa" w:w="5083"/>
            <w:tcMar>
              <w:top w:w="100" w:type="dxa"/>
              <w:start w:w="110" w:type="dxa"/>
              <w:bottom w:w="100" w:type="dxa"/>
              <w:end w:w="110" w:type="dxa"/>
            </w:tcMar>
          </w:tcPr>
          <w:p>
            <w:pPr>
              <w:spacing w:after="0"/>
            </w:pPr>
            <w:r>
              <w:rPr>
                <w:sz w:val="17"/>
              </w:rPr>
              <w:t>Joensuu / Vaara-kirjastot</w:t>
            </w:r>
          </w:p>
        </w:tc>
        <w:tc>
          <w:tcPr>
            <w:tcW w:type="dxa" w:w="5083"/>
            <w:tcMar>
              <w:top w:w="100" w:type="dxa"/>
              <w:start w:w="110" w:type="dxa"/>
              <w:bottom w:w="100" w:type="dxa"/>
              <w:end w:w="110" w:type="dxa"/>
            </w:tcMar>
          </w:tcPr>
          <w:p>
            <w:pPr>
              <w:spacing w:after="0"/>
            </w:pPr>
            <w:r>
              <w:rPr>
                <w:sz w:val="17"/>
              </w:rPr>
              <w:t>Kaupunkipilotti, joka voi laajentua usean kunnan kirjastoverkostoon</w:t>
            </w:r>
          </w:p>
        </w:tc>
      </w:tr>
      <w:tr>
        <w:tc>
          <w:tcPr>
            <w:tcW w:type="dxa" w:w="5083"/>
            <w:tcMar>
              <w:top w:w="100" w:type="dxa"/>
              <w:start w:w="110" w:type="dxa"/>
              <w:bottom w:w="100" w:type="dxa"/>
              <w:end w:w="110" w:type="dxa"/>
            </w:tcMar>
            <w:shd w:fill="F5F8FA"/>
          </w:tcPr>
          <w:p>
            <w:pPr>
              <w:spacing w:after="0"/>
            </w:pPr>
            <w:r>
              <w:rPr>
                <w:sz w:val="17"/>
              </w:rPr>
              <w:t>Helsinki / Espoo / Vantaa / Kauniainen</w:t>
            </w:r>
          </w:p>
        </w:tc>
        <w:tc>
          <w:tcPr>
            <w:tcW w:type="dxa" w:w="5083"/>
            <w:tcMar>
              <w:top w:w="100" w:type="dxa"/>
              <w:start w:w="110" w:type="dxa"/>
              <w:bottom w:w="100" w:type="dxa"/>
              <w:end w:w="110" w:type="dxa"/>
            </w:tcMar>
            <w:shd w:fill="F5F8FA"/>
          </w:tcPr>
          <w:p>
            <w:pPr>
              <w:spacing w:after="0"/>
            </w:pPr>
            <w:r>
              <w:rPr>
                <w:sz w:val="17"/>
              </w:rPr>
              <w:t>Helmet-verkon kautta suuri väestöpeitto ja vahvat innovaatioympäristöt</w:t>
            </w:r>
          </w:p>
        </w:tc>
      </w:tr>
      <w:tr>
        <w:tc>
          <w:tcPr>
            <w:tcW w:type="dxa" w:w="5083"/>
            <w:tcMar>
              <w:top w:w="100" w:type="dxa"/>
              <w:start w:w="110" w:type="dxa"/>
              <w:bottom w:w="100" w:type="dxa"/>
              <w:end w:w="110" w:type="dxa"/>
            </w:tcMar>
          </w:tcPr>
          <w:p>
            <w:pPr>
              <w:spacing w:after="0"/>
            </w:pPr>
            <w:r>
              <w:rPr>
                <w:sz w:val="17"/>
              </w:rPr>
              <w:t>Turku</w:t>
            </w:r>
          </w:p>
        </w:tc>
        <w:tc>
          <w:tcPr>
            <w:tcW w:type="dxa" w:w="5083"/>
            <w:tcMar>
              <w:top w:w="100" w:type="dxa"/>
              <w:start w:w="110" w:type="dxa"/>
              <w:bottom w:w="100" w:type="dxa"/>
              <w:end w:w="110" w:type="dxa"/>
            </w:tcMar>
          </w:tcPr>
          <w:p>
            <w:pPr>
              <w:spacing w:after="0"/>
            </w:pPr>
            <w:r>
              <w:rPr>
                <w:sz w:val="17"/>
              </w:rPr>
              <w:t>Kaupunkikehitys- ja elinkeinoreitti sekä erillinen alueellinen pilotointipiste</w:t>
            </w:r>
          </w:p>
        </w:tc>
      </w:tr>
      <w:tr>
        <w:tc>
          <w:tcPr>
            <w:tcW w:type="dxa" w:w="5083"/>
            <w:tcMar>
              <w:top w:w="100" w:type="dxa"/>
              <w:start w:w="110" w:type="dxa"/>
              <w:bottom w:w="100" w:type="dxa"/>
              <w:end w:w="110" w:type="dxa"/>
            </w:tcMar>
            <w:shd w:fill="F5F8FA"/>
          </w:tcPr>
          <w:p>
            <w:pPr>
              <w:spacing w:after="0"/>
            </w:pPr>
            <w:r>
              <w:rPr>
                <w:sz w:val="17"/>
              </w:rPr>
              <w:t>Tampere</w:t>
            </w:r>
          </w:p>
        </w:tc>
        <w:tc>
          <w:tcPr>
            <w:tcW w:type="dxa" w:w="5083"/>
            <w:tcMar>
              <w:top w:w="100" w:type="dxa"/>
              <w:start w:w="110" w:type="dxa"/>
              <w:bottom w:w="100" w:type="dxa"/>
              <w:end w:w="110" w:type="dxa"/>
            </w:tcMar>
            <w:shd w:fill="F5F8FA"/>
          </w:tcPr>
          <w:p>
            <w:pPr>
              <w:spacing w:after="0"/>
            </w:pPr>
            <w:r>
              <w:rPr>
                <w:sz w:val="17"/>
              </w:rPr>
              <w:t>Suuri kaupunkialue ja vahva teknologia-/innovaatioekosysteemi</w:t>
            </w:r>
          </w:p>
        </w:tc>
      </w:tr>
    </w:tbl>
    <w:p>
      <w:pPr>
        <w:spacing w:after="0"/>
      </w:pPr>
    </w:p>
    <w:p>
      <w:pPr>
        <w:pStyle w:val="Heading2"/>
      </w:pPr>
      <w:r>
        <w:t>10.2 Yksi pilotti riittää aloittamiseen</w:t>
      </w:r>
    </w:p>
    <w:p>
      <w:r>
        <w:t>Ensimmäinen pilotti voi olla pieni: esimerkiksi yksi kirjastoverkosto, rajattu määrä käyttäjiä ja yksi tai kaksi mallia. Arvo syntyy siitä, että kapasiteetti on oikeasti käytettävissä, ei siitä, että ensimmäinen versio olisi valtakunnallisesti täydellinen.</w:t>
      </w:r>
    </w:p>
    <w:p>
      <w:r>
        <w:br w:type="page"/>
      </w:r>
    </w:p>
    <w:p>
      <w:pPr>
        <w:pStyle w:val="Heading1"/>
      </w:pPr>
      <w:r>
        <w:t>11. Eurooppalainen ulottuvuus</w:t>
      </w:r>
    </w:p>
    <w:p>
      <w:pPr>
        <w:pStyle w:val="Lead"/>
      </w:pPr>
      <w:r>
        <w:t>Konsepti on luonnostaan eurooppalainen. Se yhdistää AI-osaamisen, digitaalisen suvereniteetin, julkisen infrastruktuurin, kansalaisten tasa-arvon ja avoimien mallien hyödyntämisen tavalla, joka on monistettavissa myös muihin EU-maihin.</w:t>
      </w:r>
    </w:p>
    <w:p>
      <w:r>
        <w:t>LUMI on jo monikansallinen EuroHPC-infrastruktuuri, ja LUMI AI Factory kuuluu EU:n AI Factory -kokonaisuuteen.³ ⁴ Jos Suomessa voidaan osoittaa toimiva malli, jossa eurooppalaista AI-laskentaa jaetaan kansalaisille olemassa olevan julkisen instituution kautta, konseptista voi syntyä kiinnostava eurooppalainen referenssi.</w:t>
      </w:r>
    </w:p>
    <w:p>
      <w:r>
        <w:t>Tämä voi vahvistaa Suomen profiilia käytännönläheisenä AI-yhteiskunnan kokeilumaana ja helpottaa myöhempää EU-tasoista rahoitusta, yhteistyötä ja mallin vientiä. EU-rahoitus ei kuitenkaan saa olla ensimmäisen pilotin käynnistymisen ehto. Nopeus on tässä strateginen etu.</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Eurooppalainen ydinviesti</w:t>
            </w:r>
          </w:p>
          <w:p>
            <w:pPr>
              <w:pStyle w:val="Callout"/>
            </w:pPr>
            <w:r>
              <w:t>Finland can demonstrate a citizen-level sovereign AI access model by combining European compute infrastructure with one of society’s most trusted universal institutions: the public library.</w:t>
            </w:r>
          </w:p>
        </w:tc>
      </w:tr>
    </w:tbl>
    <w:p>
      <w:pPr>
        <w:spacing w:after="0"/>
      </w:pPr>
    </w:p>
    <w:p>
      <w:r>
        <w:br w:type="page"/>
      </w:r>
    </w:p>
    <w:p>
      <w:pPr>
        <w:pStyle w:val="Heading1"/>
      </w:pPr>
      <w:r>
        <w:t>12. Hallinto ja operointimalli</w:t>
      </w:r>
    </w:p>
    <w:p>
      <w:pPr>
        <w:pStyle w:val="Lead"/>
      </w:pPr>
      <w:r>
        <w:t>Optimaalinen ratkaisu erottaa kolme vastuuta: kapasiteetti, operointi ja jakelu.</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7324D"/>
            <w:tcMar>
              <w:top w:w="100" w:type="dxa"/>
              <w:start w:w="110" w:type="dxa"/>
              <w:bottom w:w="100" w:type="dxa"/>
              <w:end w:w="110" w:type="dxa"/>
            </w:tcMar>
          </w:tcPr>
          <w:p>
            <w:pPr>
              <w:jc w:val="left"/>
            </w:pPr>
            <w:r>
              <w:rPr>
                <w:b/>
                <w:color w:val="FFFFFF"/>
                <w:sz w:val="18"/>
              </w:rPr>
              <w:t>Vastuu</w:t>
            </w:r>
          </w:p>
        </w:tc>
        <w:tc>
          <w:tcPr>
            <w:tcW w:type="dxa" w:w="3389"/>
            <w:shd w:fill="17324D"/>
            <w:tcMar>
              <w:top w:w="100" w:type="dxa"/>
              <w:start w:w="110" w:type="dxa"/>
              <w:bottom w:w="100" w:type="dxa"/>
              <w:end w:w="110" w:type="dxa"/>
            </w:tcMar>
          </w:tcPr>
          <w:p>
            <w:pPr>
              <w:jc w:val="left"/>
            </w:pPr>
            <w:r>
              <w:rPr>
                <w:b/>
                <w:color w:val="FFFFFF"/>
                <w:sz w:val="18"/>
              </w:rPr>
              <w:t>Mahdollinen omistaja / toteuttaja</w:t>
            </w:r>
          </w:p>
        </w:tc>
        <w:tc>
          <w:tcPr>
            <w:tcW w:type="dxa" w:w="3389"/>
            <w:shd w:fill="17324D"/>
            <w:tcMar>
              <w:top w:w="100" w:type="dxa"/>
              <w:start w:w="110" w:type="dxa"/>
              <w:bottom w:w="100" w:type="dxa"/>
              <w:end w:w="110" w:type="dxa"/>
            </w:tcMar>
          </w:tcPr>
          <w:p>
            <w:pPr>
              <w:jc w:val="left"/>
            </w:pPr>
            <w:r>
              <w:rPr>
                <w:b/>
                <w:color w:val="FFFFFF"/>
                <w:sz w:val="18"/>
              </w:rPr>
              <w:t>Periaate</w:t>
            </w:r>
          </w:p>
        </w:tc>
      </w:tr>
      <w:tr>
        <w:tc>
          <w:tcPr>
            <w:tcW w:type="dxa" w:w="3389"/>
            <w:tcMar>
              <w:top w:w="100" w:type="dxa"/>
              <w:start w:w="110" w:type="dxa"/>
              <w:bottom w:w="100" w:type="dxa"/>
              <w:end w:w="110" w:type="dxa"/>
            </w:tcMar>
          </w:tcPr>
          <w:p>
            <w:pPr>
              <w:spacing w:after="0"/>
            </w:pPr>
            <w:r>
              <w:rPr>
                <w:sz w:val="17"/>
              </w:rPr>
              <w:t>Kapasiteetti</w:t>
            </w:r>
          </w:p>
        </w:tc>
        <w:tc>
          <w:tcPr>
            <w:tcW w:type="dxa" w:w="3389"/>
            <w:tcMar>
              <w:top w:w="100" w:type="dxa"/>
              <w:start w:w="110" w:type="dxa"/>
              <w:bottom w:w="100" w:type="dxa"/>
              <w:end w:w="110" w:type="dxa"/>
            </w:tcMar>
          </w:tcPr>
          <w:p>
            <w:pPr>
              <w:spacing w:after="0"/>
            </w:pPr>
            <w:r>
              <w:rPr>
                <w:sz w:val="17"/>
              </w:rPr>
              <w:t>CSC/LUMI-ekosysteemi tai muu hyväksytty suomalainen/eurooppalainen infrastruktuuri</w:t>
            </w:r>
          </w:p>
        </w:tc>
        <w:tc>
          <w:tcPr>
            <w:tcW w:type="dxa" w:w="3389"/>
            <w:tcMar>
              <w:top w:w="100" w:type="dxa"/>
              <w:start w:w="110" w:type="dxa"/>
              <w:bottom w:w="100" w:type="dxa"/>
              <w:end w:w="110" w:type="dxa"/>
            </w:tcMar>
          </w:tcPr>
          <w:p>
            <w:pPr>
              <w:spacing w:after="0"/>
            </w:pPr>
            <w:r>
              <w:rPr>
                <w:sz w:val="17"/>
              </w:rPr>
              <w:t>Suvereniteetti, skaalautuvuus ja läpinäkyvät kustannukset</w:t>
            </w:r>
          </w:p>
        </w:tc>
      </w:tr>
      <w:tr>
        <w:tc>
          <w:tcPr>
            <w:tcW w:type="dxa" w:w="3389"/>
            <w:tcMar>
              <w:top w:w="100" w:type="dxa"/>
              <w:start w:w="110" w:type="dxa"/>
              <w:bottom w:w="100" w:type="dxa"/>
              <w:end w:w="110" w:type="dxa"/>
            </w:tcMar>
            <w:shd w:fill="F5F8FA"/>
          </w:tcPr>
          <w:p>
            <w:pPr>
              <w:spacing w:after="0"/>
            </w:pPr>
            <w:r>
              <w:rPr>
                <w:sz w:val="17"/>
              </w:rPr>
              <w:t>Tekninen operointi</w:t>
            </w:r>
          </w:p>
        </w:tc>
        <w:tc>
          <w:tcPr>
            <w:tcW w:type="dxa" w:w="3389"/>
            <w:tcMar>
              <w:top w:w="100" w:type="dxa"/>
              <w:start w:w="110" w:type="dxa"/>
              <w:bottom w:w="100" w:type="dxa"/>
              <w:end w:w="110" w:type="dxa"/>
            </w:tcMar>
            <w:shd w:fill="F5F8FA"/>
          </w:tcPr>
          <w:p>
            <w:pPr>
              <w:spacing w:after="0"/>
            </w:pPr>
            <w:r>
              <w:rPr>
                <w:sz w:val="17"/>
              </w:rPr>
              <w:t>CSC:n tiimi tai kilpailutettu toteutus-/operaatiopalvelu</w:t>
            </w:r>
          </w:p>
        </w:tc>
        <w:tc>
          <w:tcPr>
            <w:tcW w:type="dxa" w:w="3389"/>
            <w:tcMar>
              <w:top w:w="100" w:type="dxa"/>
              <w:start w:w="110" w:type="dxa"/>
              <w:bottom w:w="100" w:type="dxa"/>
              <w:end w:w="110" w:type="dxa"/>
            </w:tcMar>
            <w:shd w:fill="F5F8FA"/>
          </w:tcPr>
          <w:p>
            <w:pPr>
              <w:spacing w:after="0"/>
            </w:pPr>
            <w:r>
              <w:rPr>
                <w:sz w:val="17"/>
              </w:rPr>
              <w:t>Voi olla ulkoistettu, mutta ei saa synnyttää pysyvää toimittajalukkoa</w:t>
            </w:r>
          </w:p>
        </w:tc>
      </w:tr>
      <w:tr>
        <w:tc>
          <w:tcPr>
            <w:tcW w:type="dxa" w:w="3389"/>
            <w:tcMar>
              <w:top w:w="100" w:type="dxa"/>
              <w:start w:w="110" w:type="dxa"/>
              <w:bottom w:w="100" w:type="dxa"/>
              <w:end w:w="110" w:type="dxa"/>
            </w:tcMar>
          </w:tcPr>
          <w:p>
            <w:pPr>
              <w:spacing w:after="0"/>
            </w:pPr>
            <w:r>
              <w:rPr>
                <w:sz w:val="17"/>
              </w:rPr>
              <w:t>Jakelu ja käyttäjäsuhde</w:t>
            </w:r>
          </w:p>
        </w:tc>
        <w:tc>
          <w:tcPr>
            <w:tcW w:type="dxa" w:w="3389"/>
            <w:tcMar>
              <w:top w:w="100" w:type="dxa"/>
              <w:start w:w="110" w:type="dxa"/>
              <w:bottom w:w="100" w:type="dxa"/>
              <w:end w:w="110" w:type="dxa"/>
            </w:tcMar>
          </w:tcPr>
          <w:p>
            <w:pPr>
              <w:spacing w:after="0"/>
            </w:pPr>
            <w:r>
              <w:rPr>
                <w:sz w:val="17"/>
              </w:rPr>
              <w:t>Kirjastot ja kirjastoverkostot</w:t>
            </w:r>
          </w:p>
        </w:tc>
        <w:tc>
          <w:tcPr>
            <w:tcW w:type="dxa" w:w="3389"/>
            <w:tcMar>
              <w:top w:w="100" w:type="dxa"/>
              <w:start w:w="110" w:type="dxa"/>
              <w:bottom w:w="100" w:type="dxa"/>
              <w:end w:w="110" w:type="dxa"/>
            </w:tcMar>
          </w:tcPr>
          <w:p>
            <w:pPr>
              <w:spacing w:after="0"/>
            </w:pPr>
            <w:r>
              <w:rPr>
                <w:sz w:val="17"/>
              </w:rPr>
              <w:t>Matalan kynnyksen pääsy ja paikallinen palvelu</w:t>
            </w:r>
          </w:p>
        </w:tc>
      </w:tr>
      <w:tr>
        <w:tc>
          <w:tcPr>
            <w:tcW w:type="dxa" w:w="3389"/>
            <w:tcMar>
              <w:top w:w="100" w:type="dxa"/>
              <w:start w:w="110" w:type="dxa"/>
              <w:bottom w:w="100" w:type="dxa"/>
              <w:end w:w="110" w:type="dxa"/>
            </w:tcMar>
            <w:shd w:fill="F5F8FA"/>
          </w:tcPr>
          <w:p>
            <w:pPr>
              <w:spacing w:after="0"/>
            </w:pPr>
            <w:r>
              <w:rPr>
                <w:sz w:val="17"/>
              </w:rPr>
              <w:t>Kansallinen koordinointi</w:t>
            </w:r>
          </w:p>
        </w:tc>
        <w:tc>
          <w:tcPr>
            <w:tcW w:type="dxa" w:w="3389"/>
            <w:tcMar>
              <w:top w:w="100" w:type="dxa"/>
              <w:start w:w="110" w:type="dxa"/>
              <w:bottom w:w="100" w:type="dxa"/>
              <w:end w:w="110" w:type="dxa"/>
            </w:tcMar>
            <w:shd w:fill="F5F8FA"/>
          </w:tcPr>
          <w:p>
            <w:pPr>
              <w:spacing w:after="0"/>
            </w:pPr>
            <w:r>
              <w:rPr>
                <w:sz w:val="17"/>
              </w:rPr>
              <w:t>Pilotin erillinen ohjausryhmä / myöhemmin luonteva pysyvä koti</w:t>
            </w:r>
          </w:p>
        </w:tc>
        <w:tc>
          <w:tcPr>
            <w:tcW w:type="dxa" w:w="3389"/>
            <w:tcMar>
              <w:top w:w="100" w:type="dxa"/>
              <w:start w:w="110" w:type="dxa"/>
              <w:bottom w:w="100" w:type="dxa"/>
              <w:end w:w="110" w:type="dxa"/>
            </w:tcMar>
            <w:shd w:fill="F5F8FA"/>
          </w:tcPr>
          <w:p>
            <w:pPr>
              <w:spacing w:after="0"/>
            </w:pPr>
            <w:r>
              <w:rPr>
                <w:sz w:val="17"/>
              </w:rPr>
              <w:t>Yhteiset periaatteet, tietosuoja, mittarit ja skaalaus</w:t>
            </w:r>
          </w:p>
        </w:tc>
      </w:tr>
      <w:tr>
        <w:tc>
          <w:tcPr>
            <w:tcW w:type="dxa" w:w="3389"/>
            <w:tcMar>
              <w:top w:w="100" w:type="dxa"/>
              <w:start w:w="110" w:type="dxa"/>
              <w:bottom w:w="100" w:type="dxa"/>
              <w:end w:w="110" w:type="dxa"/>
            </w:tcMar>
          </w:tcPr>
          <w:p>
            <w:pPr>
              <w:spacing w:after="0"/>
            </w:pPr>
            <w:r>
              <w:rPr>
                <w:sz w:val="17"/>
              </w:rPr>
              <w:t>Koulutus ja ekosysteemi</w:t>
            </w:r>
          </w:p>
        </w:tc>
        <w:tc>
          <w:tcPr>
            <w:tcW w:type="dxa" w:w="3389"/>
            <w:tcMar>
              <w:top w:w="100" w:type="dxa"/>
              <w:start w:w="110" w:type="dxa"/>
              <w:bottom w:w="100" w:type="dxa"/>
              <w:end w:w="110" w:type="dxa"/>
            </w:tcMar>
          </w:tcPr>
          <w:p>
            <w:pPr>
              <w:spacing w:after="0"/>
            </w:pPr>
            <w:r>
              <w:rPr>
                <w:sz w:val="17"/>
              </w:rPr>
              <w:t>Kirjastot + kaupungit + oppilaitokset + yritykset + yhteisöt</w:t>
            </w:r>
          </w:p>
        </w:tc>
        <w:tc>
          <w:tcPr>
            <w:tcW w:type="dxa" w:w="3389"/>
            <w:tcMar>
              <w:top w:w="100" w:type="dxa"/>
              <w:start w:w="110" w:type="dxa"/>
              <w:bottom w:w="100" w:type="dxa"/>
              <w:end w:w="110" w:type="dxa"/>
            </w:tcMar>
          </w:tcPr>
          <w:p>
            <w:pPr>
              <w:spacing w:after="0"/>
            </w:pPr>
            <w:r>
              <w:rPr>
                <w:sz w:val="17"/>
              </w:rPr>
              <w:t>Paikallinen joustavuus</w:t>
            </w:r>
          </w:p>
        </w:tc>
      </w:tr>
    </w:tbl>
    <w:p>
      <w:pPr>
        <w:spacing w:after="0"/>
      </w:pPr>
    </w:p>
    <w:p>
      <w:r>
        <w:t>Jos CSC/LUMI-tiimi pystyy ottamaan operointivastuun, se on konseptuaalisesti vahva vaihtoehto. Jos organisaation prosessit hidastavat ensimmäistä kokeilua, tekninen pystytys voidaan ostaa ulkopuolelta toteutuksena ja operointina. Sopimusmallissa on tällöin varmistettava, että palvelun oikeudet, konfiguraatiot, rajapinnat ja mahdollisuus siirtää operointi toiselle taholle säilyvät tilaajalla.</w:t>
      </w:r>
    </w:p>
    <w:p>
      <w:r>
        <w:br w:type="page"/>
      </w:r>
    </w:p>
    <w:p>
      <w:pPr>
        <w:pStyle w:val="Heading1"/>
      </w:pPr>
      <w:r>
        <w:t>13. Mittarit</w:t>
      </w:r>
    </w:p>
    <w:p>
      <w:pPr>
        <w:pStyle w:val="Lead"/>
      </w:pPr>
      <w:r>
        <w:t>Pilotin tavoitteena on sekä tarjota hyötyä että tuottaa tietoa. Mittarit kannattaa pitää selkeinä ja reaaliaikaisina.</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Mittariryhmä</w:t>
            </w:r>
          </w:p>
        </w:tc>
        <w:tc>
          <w:tcPr>
            <w:tcW w:type="dxa" w:w="5083"/>
            <w:shd w:fill="17324D"/>
            <w:tcMar>
              <w:top w:w="100" w:type="dxa"/>
              <w:start w:w="110" w:type="dxa"/>
              <w:bottom w:w="100" w:type="dxa"/>
              <w:end w:w="110" w:type="dxa"/>
            </w:tcMar>
          </w:tcPr>
          <w:p>
            <w:pPr>
              <w:jc w:val="left"/>
            </w:pPr>
            <w:r>
              <w:rPr>
                <w:b/>
                <w:color w:val="FFFFFF"/>
                <w:sz w:val="18"/>
              </w:rPr>
              <w:t>Esimerkkimittarit</w:t>
            </w:r>
          </w:p>
        </w:tc>
      </w:tr>
      <w:tr>
        <w:tc>
          <w:tcPr>
            <w:tcW w:type="dxa" w:w="5083"/>
            <w:tcMar>
              <w:top w:w="100" w:type="dxa"/>
              <w:start w:w="110" w:type="dxa"/>
              <w:bottom w:w="100" w:type="dxa"/>
              <w:end w:w="110" w:type="dxa"/>
            </w:tcMar>
          </w:tcPr>
          <w:p>
            <w:pPr>
              <w:spacing w:after="0"/>
            </w:pPr>
            <w:r>
              <w:rPr>
                <w:sz w:val="17"/>
              </w:rPr>
              <w:t>Saavutettavuus</w:t>
            </w:r>
          </w:p>
        </w:tc>
        <w:tc>
          <w:tcPr>
            <w:tcW w:type="dxa" w:w="5083"/>
            <w:tcMar>
              <w:top w:w="100" w:type="dxa"/>
              <w:start w:w="110" w:type="dxa"/>
              <w:bottom w:w="100" w:type="dxa"/>
              <w:end w:w="110" w:type="dxa"/>
            </w:tcMar>
          </w:tcPr>
          <w:p>
            <w:pPr>
              <w:spacing w:after="0"/>
            </w:pPr>
            <w:r>
              <w:rPr>
                <w:sz w:val="17"/>
              </w:rPr>
              <w:t>Aktivoidut käyttäjät, aktiiviset käyttäjät, maantieteellinen kattavuus</w:t>
            </w:r>
          </w:p>
        </w:tc>
      </w:tr>
      <w:tr>
        <w:tc>
          <w:tcPr>
            <w:tcW w:type="dxa" w:w="5083"/>
            <w:tcMar>
              <w:top w:w="100" w:type="dxa"/>
              <w:start w:w="110" w:type="dxa"/>
              <w:bottom w:w="100" w:type="dxa"/>
              <w:end w:w="110" w:type="dxa"/>
            </w:tcMar>
            <w:shd w:fill="F5F8FA"/>
          </w:tcPr>
          <w:p>
            <w:pPr>
              <w:spacing w:after="0"/>
            </w:pPr>
            <w:r>
              <w:rPr>
                <w:sz w:val="17"/>
              </w:rPr>
              <w:t>Käyttö</w:t>
            </w:r>
          </w:p>
        </w:tc>
        <w:tc>
          <w:tcPr>
            <w:tcW w:type="dxa" w:w="5083"/>
            <w:tcMar>
              <w:top w:w="100" w:type="dxa"/>
              <w:start w:w="110" w:type="dxa"/>
              <w:bottom w:w="100" w:type="dxa"/>
              <w:end w:w="110" w:type="dxa"/>
            </w:tcMar>
            <w:shd w:fill="F5F8FA"/>
          </w:tcPr>
          <w:p>
            <w:pPr>
              <w:spacing w:after="0"/>
            </w:pPr>
            <w:r>
              <w:rPr>
                <w:sz w:val="17"/>
              </w:rPr>
              <w:t>Tokenit/laskenta, aktiiviset päivät, mallien käyttöjakauma</w:t>
            </w:r>
          </w:p>
        </w:tc>
      </w:tr>
      <w:tr>
        <w:tc>
          <w:tcPr>
            <w:tcW w:type="dxa" w:w="5083"/>
            <w:tcMar>
              <w:top w:w="100" w:type="dxa"/>
              <w:start w:w="110" w:type="dxa"/>
              <w:bottom w:w="100" w:type="dxa"/>
              <w:end w:w="110" w:type="dxa"/>
            </w:tcMar>
          </w:tcPr>
          <w:p>
            <w:pPr>
              <w:spacing w:after="0"/>
            </w:pPr>
            <w:r>
              <w:rPr>
                <w:sz w:val="17"/>
              </w:rPr>
              <w:t>Oppiminen</w:t>
            </w:r>
          </w:p>
        </w:tc>
        <w:tc>
          <w:tcPr>
            <w:tcW w:type="dxa" w:w="5083"/>
            <w:tcMar>
              <w:top w:w="100" w:type="dxa"/>
              <w:start w:w="110" w:type="dxa"/>
              <w:bottom w:w="100" w:type="dxa"/>
              <w:end w:w="110" w:type="dxa"/>
            </w:tcMar>
          </w:tcPr>
          <w:p>
            <w:pPr>
              <w:spacing w:after="0"/>
            </w:pPr>
            <w:r>
              <w:rPr>
                <w:sz w:val="17"/>
              </w:rPr>
              <w:t>Koulutuksiin osallistuminen, itsearvioitu osaamisen kasvu, uusien käyttötapojen määrä</w:t>
            </w:r>
          </w:p>
        </w:tc>
      </w:tr>
      <w:tr>
        <w:tc>
          <w:tcPr>
            <w:tcW w:type="dxa" w:w="5083"/>
            <w:tcMar>
              <w:top w:w="100" w:type="dxa"/>
              <w:start w:w="110" w:type="dxa"/>
              <w:bottom w:w="100" w:type="dxa"/>
              <w:end w:w="110" w:type="dxa"/>
            </w:tcMar>
            <w:shd w:fill="F5F8FA"/>
          </w:tcPr>
          <w:p>
            <w:pPr>
              <w:spacing w:after="0"/>
            </w:pPr>
            <w:r>
              <w:rPr>
                <w:sz w:val="17"/>
              </w:rPr>
              <w:t>Rakentaminen</w:t>
            </w:r>
          </w:p>
        </w:tc>
        <w:tc>
          <w:tcPr>
            <w:tcW w:type="dxa" w:w="5083"/>
            <w:tcMar>
              <w:top w:w="100" w:type="dxa"/>
              <w:start w:w="110" w:type="dxa"/>
              <w:bottom w:w="100" w:type="dxa"/>
              <w:end w:w="110" w:type="dxa"/>
            </w:tcMar>
            <w:shd w:fill="F5F8FA"/>
          </w:tcPr>
          <w:p>
            <w:pPr>
              <w:spacing w:after="0"/>
            </w:pPr>
            <w:r>
              <w:rPr>
                <w:sz w:val="17"/>
              </w:rPr>
              <w:t>API-avaimella syntyneet sovellukset, agentit ja kokeilut vapaaehtoisesti raportoituina</w:t>
            </w:r>
          </w:p>
        </w:tc>
      </w:tr>
      <w:tr>
        <w:tc>
          <w:tcPr>
            <w:tcW w:type="dxa" w:w="5083"/>
            <w:tcMar>
              <w:top w:w="100" w:type="dxa"/>
              <w:start w:w="110" w:type="dxa"/>
              <w:bottom w:w="100" w:type="dxa"/>
              <w:end w:w="110" w:type="dxa"/>
            </w:tcMar>
          </w:tcPr>
          <w:p>
            <w:pPr>
              <w:spacing w:after="0"/>
            </w:pPr>
            <w:r>
              <w:rPr>
                <w:sz w:val="17"/>
              </w:rPr>
              <w:t>Tasa-arvo</w:t>
            </w:r>
          </w:p>
        </w:tc>
        <w:tc>
          <w:tcPr>
            <w:tcW w:type="dxa" w:w="5083"/>
            <w:tcMar>
              <w:top w:w="100" w:type="dxa"/>
              <w:start w:w="110" w:type="dxa"/>
              <w:bottom w:w="100" w:type="dxa"/>
              <w:end w:w="110" w:type="dxa"/>
            </w:tcMar>
          </w:tcPr>
          <w:p>
            <w:pPr>
              <w:spacing w:after="0"/>
            </w:pPr>
            <w:r>
              <w:rPr>
                <w:sz w:val="17"/>
              </w:rPr>
              <w:t>Käyttö eri alueilla ja taustaryhmissä riittävän karkealla anonymisoidulla tasolla</w:t>
            </w:r>
          </w:p>
        </w:tc>
      </w:tr>
      <w:tr>
        <w:tc>
          <w:tcPr>
            <w:tcW w:type="dxa" w:w="5083"/>
            <w:tcMar>
              <w:top w:w="100" w:type="dxa"/>
              <w:start w:w="110" w:type="dxa"/>
              <w:bottom w:w="100" w:type="dxa"/>
              <w:end w:w="110" w:type="dxa"/>
            </w:tcMar>
            <w:shd w:fill="F5F8FA"/>
          </w:tcPr>
          <w:p>
            <w:pPr>
              <w:spacing w:after="0"/>
            </w:pPr>
            <w:r>
              <w:rPr>
                <w:sz w:val="17"/>
              </w:rPr>
              <w:t>Kustannus</w:t>
            </w:r>
          </w:p>
        </w:tc>
        <w:tc>
          <w:tcPr>
            <w:tcW w:type="dxa" w:w="5083"/>
            <w:tcMar>
              <w:top w:w="100" w:type="dxa"/>
              <w:start w:w="110" w:type="dxa"/>
              <w:bottom w:w="100" w:type="dxa"/>
              <w:end w:w="110" w:type="dxa"/>
            </w:tcMar>
            <w:shd w:fill="F5F8FA"/>
          </w:tcPr>
          <w:p>
            <w:pPr>
              <w:spacing w:after="0"/>
            </w:pPr>
            <w:r>
              <w:rPr>
                <w:sz w:val="17"/>
              </w:rPr>
              <w:t>Kapasiteettikustannus per aktiivinen käyttäjä ja per käyttöyksikkö</w:t>
            </w:r>
          </w:p>
        </w:tc>
      </w:tr>
      <w:tr>
        <w:tc>
          <w:tcPr>
            <w:tcW w:type="dxa" w:w="5083"/>
            <w:tcMar>
              <w:top w:w="100" w:type="dxa"/>
              <w:start w:w="110" w:type="dxa"/>
              <w:bottom w:w="100" w:type="dxa"/>
              <w:end w:w="110" w:type="dxa"/>
            </w:tcMar>
          </w:tcPr>
          <w:p>
            <w:pPr>
              <w:spacing w:after="0"/>
            </w:pPr>
            <w:r>
              <w:rPr>
                <w:sz w:val="17"/>
              </w:rPr>
              <w:t>Taloudellinen signaali</w:t>
            </w:r>
          </w:p>
        </w:tc>
        <w:tc>
          <w:tcPr>
            <w:tcW w:type="dxa" w:w="5083"/>
            <w:tcMar>
              <w:top w:w="100" w:type="dxa"/>
              <w:start w:w="110" w:type="dxa"/>
              <w:bottom w:w="100" w:type="dxa"/>
              <w:end w:w="110" w:type="dxa"/>
            </w:tcMar>
          </w:tcPr>
          <w:p>
            <w:pPr>
              <w:spacing w:after="0"/>
            </w:pPr>
            <w:r>
              <w:rPr>
                <w:sz w:val="17"/>
              </w:rPr>
              <w:t>Kotimaisen/eurooppalaisen kapasiteetin osuus pilotin käyttäjien ilmoittamasta AI-käytöstä</w:t>
            </w:r>
          </w:p>
        </w:tc>
      </w:tr>
      <w:tr>
        <w:tc>
          <w:tcPr>
            <w:tcW w:type="dxa" w:w="5083"/>
            <w:tcMar>
              <w:top w:w="100" w:type="dxa"/>
              <w:start w:w="110" w:type="dxa"/>
              <w:bottom w:w="100" w:type="dxa"/>
              <w:end w:w="110" w:type="dxa"/>
            </w:tcMar>
            <w:shd w:fill="F5F8FA"/>
          </w:tcPr>
          <w:p>
            <w:pPr>
              <w:spacing w:after="0"/>
            </w:pPr>
            <w:r>
              <w:rPr>
                <w:sz w:val="17"/>
              </w:rPr>
              <w:t>Palvelun laatu</w:t>
            </w:r>
          </w:p>
        </w:tc>
        <w:tc>
          <w:tcPr>
            <w:tcW w:type="dxa" w:w="5083"/>
            <w:tcMar>
              <w:top w:w="100" w:type="dxa"/>
              <w:start w:w="110" w:type="dxa"/>
              <w:bottom w:w="100" w:type="dxa"/>
              <w:end w:w="110" w:type="dxa"/>
            </w:tcMar>
            <w:shd w:fill="F5F8FA"/>
          </w:tcPr>
          <w:p>
            <w:pPr>
              <w:spacing w:after="0"/>
            </w:pPr>
            <w:r>
              <w:rPr>
                <w:sz w:val="17"/>
              </w:rPr>
              <w:t>Saatavuus, vasteajat, virheprosentti, käyttäjäpalaute</w:t>
            </w:r>
          </w:p>
        </w:tc>
      </w:tr>
    </w:tbl>
    <w:p>
      <w:pPr>
        <w:spacing w:after="0"/>
      </w:pPr>
    </w:p>
    <w:p>
      <w:r>
        <w:t>Mittareiden tarkoitus ei ole valvoa yksilöitä vaan auttaa päätöksentekoa. On tärkeää erottaa tekninen operointiloki, väärinkäytön estämiseen tarvittava tieto ja kansalliseen oppimiseen käytettävä aggregoitu analytiikka toisistaan.</w:t>
      </w:r>
    </w:p>
    <w:p>
      <w:r>
        <w:br w:type="page"/>
      </w:r>
    </w:p>
    <w:p>
      <w:pPr>
        <w:pStyle w:val="Heading1"/>
      </w:pPr>
      <w:r>
        <w:t>14. Riskit ja suojaukset</w:t>
      </w:r>
    </w:p>
    <w:tbl>
      <w:tblPr>
        <w:tblStyle w:val="TableGrid"/>
        <w:tblW w:type="auto" w:w="0"/>
        <w:jc w:val="center"/>
        <w:tblLook w:firstColumn="1" w:firstRow="1" w:lastColumn="0" w:lastRow="0" w:noHBand="0" w:noVBand="1" w:val="04A0"/>
      </w:tblPr>
      <w:tblGrid>
        <w:gridCol w:w="5083"/>
        <w:gridCol w:w="5083"/>
      </w:tblGrid>
      <w:tr>
        <w:tc>
          <w:tcPr>
            <w:tcW w:type="dxa" w:w="5083"/>
            <w:shd w:fill="17324D"/>
            <w:tcMar>
              <w:top w:w="100" w:type="dxa"/>
              <w:start w:w="110" w:type="dxa"/>
              <w:bottom w:w="100" w:type="dxa"/>
              <w:end w:w="110" w:type="dxa"/>
            </w:tcMar>
          </w:tcPr>
          <w:p>
            <w:pPr>
              <w:jc w:val="left"/>
            </w:pPr>
            <w:r>
              <w:rPr>
                <w:b/>
                <w:color w:val="FFFFFF"/>
                <w:sz w:val="18"/>
              </w:rPr>
              <w:t>Riski</w:t>
            </w:r>
          </w:p>
        </w:tc>
        <w:tc>
          <w:tcPr>
            <w:tcW w:type="dxa" w:w="5083"/>
            <w:shd w:fill="17324D"/>
            <w:tcMar>
              <w:top w:w="100" w:type="dxa"/>
              <w:start w:w="110" w:type="dxa"/>
              <w:bottom w:w="100" w:type="dxa"/>
              <w:end w:w="110" w:type="dxa"/>
            </w:tcMar>
          </w:tcPr>
          <w:p>
            <w:pPr>
              <w:jc w:val="left"/>
            </w:pPr>
            <w:r>
              <w:rPr>
                <w:b/>
                <w:color w:val="FFFFFF"/>
                <w:sz w:val="18"/>
              </w:rPr>
              <w:t>Suojauksen periaate</w:t>
            </w:r>
          </w:p>
        </w:tc>
      </w:tr>
      <w:tr>
        <w:tc>
          <w:tcPr>
            <w:tcW w:type="dxa" w:w="5083"/>
            <w:tcMar>
              <w:top w:w="100" w:type="dxa"/>
              <w:start w:w="110" w:type="dxa"/>
              <w:bottom w:w="100" w:type="dxa"/>
              <w:end w:w="110" w:type="dxa"/>
            </w:tcMar>
          </w:tcPr>
          <w:p>
            <w:pPr>
              <w:spacing w:after="0"/>
            </w:pPr>
            <w:r>
              <w:rPr>
                <w:sz w:val="17"/>
              </w:rPr>
              <w:t>Väärinkäyttö tai automaattinen massakulutus</w:t>
            </w:r>
          </w:p>
        </w:tc>
        <w:tc>
          <w:tcPr>
            <w:tcW w:type="dxa" w:w="5083"/>
            <w:tcMar>
              <w:top w:w="100" w:type="dxa"/>
              <w:start w:w="110" w:type="dxa"/>
              <w:bottom w:w="100" w:type="dxa"/>
              <w:end w:w="110" w:type="dxa"/>
            </w:tcMar>
          </w:tcPr>
          <w:p>
            <w:pPr>
              <w:spacing w:after="0"/>
            </w:pPr>
            <w:r>
              <w:rPr>
                <w:sz w:val="17"/>
              </w:rPr>
              <w:t>Käyttäjäkohtaiset kiintiöt, rate limit, avainten mitätöinti, käyttöehtojen valvonta</w:t>
            </w:r>
          </w:p>
        </w:tc>
      </w:tr>
      <w:tr>
        <w:tc>
          <w:tcPr>
            <w:tcW w:type="dxa" w:w="5083"/>
            <w:tcMar>
              <w:top w:w="100" w:type="dxa"/>
              <w:start w:w="110" w:type="dxa"/>
              <w:bottom w:w="100" w:type="dxa"/>
              <w:end w:w="110" w:type="dxa"/>
            </w:tcMar>
            <w:shd w:fill="F5F8FA"/>
          </w:tcPr>
          <w:p>
            <w:pPr>
              <w:spacing w:after="0"/>
            </w:pPr>
            <w:r>
              <w:rPr>
                <w:sz w:val="17"/>
              </w:rPr>
              <w:t>Kapasiteetin kustannusten hallitsematon kasvu</w:t>
            </w:r>
          </w:p>
        </w:tc>
        <w:tc>
          <w:tcPr>
            <w:tcW w:type="dxa" w:w="5083"/>
            <w:tcMar>
              <w:top w:w="100" w:type="dxa"/>
              <w:start w:w="110" w:type="dxa"/>
              <w:bottom w:w="100" w:type="dxa"/>
              <w:end w:w="110" w:type="dxa"/>
            </w:tcMar>
            <w:shd w:fill="F5F8FA"/>
          </w:tcPr>
          <w:p>
            <w:pPr>
              <w:spacing w:after="0"/>
            </w:pPr>
            <w:r>
              <w:rPr>
                <w:sz w:val="17"/>
              </w:rPr>
              <w:t>Selkeä peruskiintiö, kapasiteettibudjetti ja portaittainen laajennus</w:t>
            </w:r>
          </w:p>
        </w:tc>
      </w:tr>
      <w:tr>
        <w:tc>
          <w:tcPr>
            <w:tcW w:type="dxa" w:w="5083"/>
            <w:tcMar>
              <w:top w:w="100" w:type="dxa"/>
              <w:start w:w="110" w:type="dxa"/>
              <w:bottom w:w="100" w:type="dxa"/>
              <w:end w:w="110" w:type="dxa"/>
            </w:tcMar>
          </w:tcPr>
          <w:p>
            <w:pPr>
              <w:spacing w:after="0"/>
            </w:pPr>
            <w:r>
              <w:rPr>
                <w:sz w:val="17"/>
              </w:rPr>
              <w:t>Henkilötietojen tai IP:n päätyminen analytiikkaan</w:t>
            </w:r>
          </w:p>
        </w:tc>
        <w:tc>
          <w:tcPr>
            <w:tcW w:type="dxa" w:w="5083"/>
            <w:tcMar>
              <w:top w:w="100" w:type="dxa"/>
              <w:start w:w="110" w:type="dxa"/>
              <w:bottom w:w="100" w:type="dxa"/>
              <w:end w:w="110" w:type="dxa"/>
            </w:tcMar>
          </w:tcPr>
          <w:p>
            <w:pPr>
              <w:spacing w:after="0"/>
            </w:pPr>
            <w:r>
              <w:rPr>
                <w:sz w:val="17"/>
              </w:rPr>
              <w:t>Sisältöjen keruun minimointi, anonymisointi, tarkoitussidonnaisuus ja tietosuojan ennakkoarviointi</w:t>
            </w:r>
          </w:p>
        </w:tc>
      </w:tr>
      <w:tr>
        <w:tc>
          <w:tcPr>
            <w:tcW w:type="dxa" w:w="5083"/>
            <w:tcMar>
              <w:top w:w="100" w:type="dxa"/>
              <w:start w:w="110" w:type="dxa"/>
              <w:bottom w:w="100" w:type="dxa"/>
              <w:end w:w="110" w:type="dxa"/>
            </w:tcMar>
            <w:shd w:fill="F5F8FA"/>
          </w:tcPr>
          <w:p>
            <w:pPr>
              <w:spacing w:after="0"/>
            </w:pPr>
            <w:r>
              <w:rPr>
                <w:sz w:val="17"/>
              </w:rPr>
              <w:t>Toimittajalukko</w:t>
            </w:r>
          </w:p>
        </w:tc>
        <w:tc>
          <w:tcPr>
            <w:tcW w:type="dxa" w:w="5083"/>
            <w:tcMar>
              <w:top w:w="100" w:type="dxa"/>
              <w:start w:w="110" w:type="dxa"/>
              <w:bottom w:w="100" w:type="dxa"/>
              <w:end w:w="110" w:type="dxa"/>
            </w:tcMar>
            <w:shd w:fill="F5F8FA"/>
          </w:tcPr>
          <w:p>
            <w:pPr>
              <w:spacing w:after="0"/>
            </w:pPr>
            <w:r>
              <w:rPr>
                <w:sz w:val="17"/>
              </w:rPr>
              <w:t>Avoimet rajapinnat, siirrettävä infra, oikeudet tilaajalle ja dokumentoitu operointimalli</w:t>
            </w:r>
          </w:p>
        </w:tc>
      </w:tr>
      <w:tr>
        <w:tc>
          <w:tcPr>
            <w:tcW w:type="dxa" w:w="5083"/>
            <w:tcMar>
              <w:top w:w="100" w:type="dxa"/>
              <w:start w:w="110" w:type="dxa"/>
              <w:bottom w:w="100" w:type="dxa"/>
              <w:end w:w="110" w:type="dxa"/>
            </w:tcMar>
          </w:tcPr>
          <w:p>
            <w:pPr>
              <w:spacing w:after="0"/>
            </w:pPr>
            <w:r>
              <w:rPr>
                <w:sz w:val="17"/>
              </w:rPr>
              <w:t>Kirjastohenkilöstön kuormittuminen</w:t>
            </w:r>
          </w:p>
        </w:tc>
        <w:tc>
          <w:tcPr>
            <w:tcW w:type="dxa" w:w="5083"/>
            <w:tcMar>
              <w:top w:w="100" w:type="dxa"/>
              <w:start w:w="110" w:type="dxa"/>
              <w:bottom w:w="100" w:type="dxa"/>
              <w:end w:w="110" w:type="dxa"/>
            </w:tcMar>
          </w:tcPr>
          <w:p>
            <w:pPr>
              <w:spacing w:after="0"/>
            </w:pPr>
            <w:r>
              <w:rPr>
                <w:sz w:val="17"/>
              </w:rPr>
              <w:t>Tekninen tuki erilliselle operaattorille; kirjasto ei ole helpdesk mallipalvelimille</w:t>
            </w:r>
          </w:p>
        </w:tc>
      </w:tr>
      <w:tr>
        <w:tc>
          <w:tcPr>
            <w:tcW w:type="dxa" w:w="5083"/>
            <w:tcMar>
              <w:top w:w="100" w:type="dxa"/>
              <w:start w:w="110" w:type="dxa"/>
              <w:bottom w:w="100" w:type="dxa"/>
              <w:end w:w="110" w:type="dxa"/>
            </w:tcMar>
            <w:shd w:fill="F5F8FA"/>
          </w:tcPr>
          <w:p>
            <w:pPr>
              <w:spacing w:after="0"/>
            </w:pPr>
            <w:r>
              <w:rPr>
                <w:sz w:val="17"/>
              </w:rPr>
              <w:t>Palvelun käyttäminen vain teknisen eliitin toimesta</w:t>
            </w:r>
          </w:p>
        </w:tc>
        <w:tc>
          <w:tcPr>
            <w:tcW w:type="dxa" w:w="5083"/>
            <w:tcMar>
              <w:top w:w="100" w:type="dxa"/>
              <w:start w:w="110" w:type="dxa"/>
              <w:bottom w:w="100" w:type="dxa"/>
              <w:end w:w="110" w:type="dxa"/>
            </w:tcMar>
            <w:shd w:fill="F5F8FA"/>
          </w:tcPr>
          <w:p>
            <w:pPr>
              <w:spacing w:after="0"/>
            </w:pPr>
            <w:r>
              <w:rPr>
                <w:sz w:val="17"/>
              </w:rPr>
              <w:t>Valmis käyttöliittymä ja paikallinen koulutus toisessa vaiheessa</w:t>
            </w:r>
          </w:p>
        </w:tc>
      </w:tr>
      <w:tr>
        <w:tc>
          <w:tcPr>
            <w:tcW w:type="dxa" w:w="5083"/>
            <w:tcMar>
              <w:top w:w="100" w:type="dxa"/>
              <w:start w:w="110" w:type="dxa"/>
              <w:bottom w:w="100" w:type="dxa"/>
              <w:end w:w="110" w:type="dxa"/>
            </w:tcMar>
          </w:tcPr>
          <w:p>
            <w:pPr>
              <w:spacing w:after="0"/>
            </w:pPr>
            <w:r>
              <w:rPr>
                <w:sz w:val="17"/>
              </w:rPr>
              <w:t>Avoin malli ei ole riittävän hyvä kaikkiin tehtäviin</w:t>
            </w:r>
          </w:p>
        </w:tc>
        <w:tc>
          <w:tcPr>
            <w:tcW w:type="dxa" w:w="5083"/>
            <w:tcMar>
              <w:top w:w="100" w:type="dxa"/>
              <w:start w:w="110" w:type="dxa"/>
              <w:bottom w:w="100" w:type="dxa"/>
              <w:end w:w="110" w:type="dxa"/>
            </w:tcMar>
          </w:tcPr>
          <w:p>
            <w:pPr>
              <w:spacing w:after="0"/>
            </w:pPr>
            <w:r>
              <w:rPr>
                <w:sz w:val="17"/>
              </w:rPr>
              <w:t>Useita malleja, selkeä palvelulupaus ja kaupallisten palvelujen täydentävä käyttö</w:t>
            </w:r>
          </w:p>
        </w:tc>
      </w:tr>
      <w:tr>
        <w:tc>
          <w:tcPr>
            <w:tcW w:type="dxa" w:w="5083"/>
            <w:tcMar>
              <w:top w:w="100" w:type="dxa"/>
              <w:start w:w="110" w:type="dxa"/>
              <w:bottom w:w="100" w:type="dxa"/>
              <w:end w:w="110" w:type="dxa"/>
            </w:tcMar>
            <w:shd w:fill="F5F8FA"/>
          </w:tcPr>
          <w:p>
            <w:pPr>
              <w:spacing w:after="0"/>
            </w:pPr>
            <w:r>
              <w:rPr>
                <w:sz w:val="17"/>
              </w:rPr>
              <w:t>Poliittinen tai ideologinen vastakkainasettelu</w:t>
            </w:r>
          </w:p>
        </w:tc>
        <w:tc>
          <w:tcPr>
            <w:tcW w:type="dxa" w:w="5083"/>
            <w:tcMar>
              <w:top w:w="100" w:type="dxa"/>
              <w:start w:w="110" w:type="dxa"/>
              <w:bottom w:w="100" w:type="dxa"/>
              <w:end w:w="110" w:type="dxa"/>
            </w:tcMar>
            <w:shd w:fill="F5F8FA"/>
          </w:tcPr>
          <w:p>
            <w:pPr>
              <w:spacing w:after="0"/>
            </w:pPr>
            <w:r>
              <w:rPr>
                <w:sz w:val="17"/>
              </w:rPr>
              <w:t>Kehystys vapaaehtoisena osaamis-, tasa-arvo- ja infrastruktuuripalveluna, ei kieltona tai pakottamisena</w:t>
            </w:r>
          </w:p>
        </w:tc>
      </w:tr>
    </w:tbl>
    <w:p>
      <w:pPr>
        <w:spacing w:after="0"/>
      </w:pPr>
    </w:p>
    <w:p>
      <w:r>
        <w:t>Pilotin pitää myös hyväksyä, että kaikkea ei tiedetä etukäteen. Avoimet kysymykset eivät ole syy viivyttää kokeilua, jos ne voidaan rajata ja hallita pilotin sisällä.</w:t>
      </w:r>
    </w:p>
    <w:p>
      <w:r>
        <w:br w:type="page"/>
      </w:r>
    </w:p>
    <w:p>
      <w:pPr>
        <w:pStyle w:val="Heading1"/>
      </w:pPr>
      <w:r>
        <w:t>15. Viestintä ja PR</w:t>
      </w:r>
    </w:p>
    <w:p>
      <w:pPr>
        <w:pStyle w:val="Lead"/>
      </w:pPr>
      <w:r>
        <w:t>Viestintä ei ole pilotin jälkeinen vaihe. Kun riittävät toimijat ovat sitoutuneet toteutukseen, julkinen kansallinen ja kansainvälinen viestintä kannattaa käynnistää nopeasti, vaikka palvelu ei olisi vielä loppukäyttäjille auki.</w:t>
      </w:r>
    </w:p>
    <w:p>
      <w:pPr>
        <w:pStyle w:val="Heading2"/>
      </w:pPr>
      <w:r>
        <w:t>15.1 Miksi sitoumus voidaan viestiä ennen valmistumista</w:t>
      </w:r>
    </w:p>
    <w:p>
      <w:pPr>
        <w:pStyle w:val="ListBullet"/>
        <w:spacing w:after="40"/>
      </w:pPr>
      <w:r>
        <w:t>Se luo selkeän aikataulupaineen ja yhteisen tavoitteen.</w:t>
      </w:r>
    </w:p>
    <w:p>
      <w:pPr>
        <w:pStyle w:val="ListBullet"/>
        <w:spacing w:after="40"/>
      </w:pPr>
      <w:r>
        <w:t>Se mahdollistaa uusien kumppanien ja pilottikaupunkien liittymisen jo rakennusvaiheessa.</w:t>
      </w:r>
    </w:p>
    <w:p>
      <w:pPr>
        <w:pStyle w:val="ListBullet"/>
        <w:spacing w:after="40"/>
      </w:pPr>
      <w:r>
        <w:t>Se tekee Suomesta aloitteen tekijän eikä vain myöhemmän seuraajan.</w:t>
      </w:r>
    </w:p>
    <w:p>
      <w:pPr>
        <w:pStyle w:val="ListBullet"/>
        <w:spacing w:after="40"/>
      </w:pPr>
      <w:r>
        <w:t>Se antaa kansalaisille, kouluttajille ja rakentajille aikaa valmistautua palvelun käyttöön.</w:t>
      </w:r>
    </w:p>
    <w:p>
      <w:pPr>
        <w:pStyle w:val="Heading2"/>
      </w:pPr>
      <w:r>
        <w:t>15.2 Viestinnän ydin</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Mahdollinen pääviesti</w:t>
            </w:r>
          </w:p>
          <w:p>
            <w:pPr>
              <w:pStyle w:val="Callout"/>
            </w:pPr>
            <w:r>
              <w:t>Suomi käynnistää pilotin, jossa tekoälykapasiteetti tuodaan kansalaisten saataville kirjastokortilla. Tavoitteena on antaa kaikille mahdollisuus oppia käyttämään tekoälyä riippumatta maksukyvystä, teknisestä taustasta tai omasta laitteistosta, samalla kun kapasiteetti rakennetaan eurooppalaisen digitaalisen suvereniteetin periaatteilla.</w:t>
            </w:r>
          </w:p>
        </w:tc>
      </w:tr>
    </w:tbl>
    <w:p>
      <w:pPr>
        <w:spacing w:after="0"/>
      </w:pPr>
    </w:p>
    <w:p>
      <w:r>
        <w:t>Viestinnässä kannattaa välttää liian aikaisia lupauksia lopullisesta valtakunnallisesta palvelusta. Parempi on luvata pilotti, julkinen tavoiteaikataulu ja läpinäkyvä oppiminen.</w:t>
      </w:r>
    </w:p>
    <w:p>
      <w:r>
        <w:br w:type="page"/>
      </w:r>
    </w:p>
    <w:p>
      <w:pPr>
        <w:pStyle w:val="Heading1"/>
      </w:pPr>
      <w:r>
        <w:t>16. 90 päivän etenemismalli</w:t>
      </w:r>
    </w:p>
    <w:p>
      <w:pPr>
        <w:pStyle w:val="Lead"/>
      </w:pPr>
      <w:r>
        <w:t>Seuraava etenemismalli on tarkoituksella aggressiivinen. Pilotin arvo on nopeudessa ja todellisessa käytössä.</w:t>
      </w:r>
    </w:p>
    <w:tbl>
      <w:tblPr>
        <w:tblStyle w:val="TableGrid"/>
        <w:tblW w:type="auto" w:w="0"/>
        <w:jc w:val="center"/>
        <w:tblLook w:firstColumn="1" w:firstRow="1" w:lastColumn="0" w:lastRow="0" w:noHBand="0" w:noVBand="1" w:val="04A0"/>
      </w:tblPr>
      <w:tblGrid>
        <w:gridCol w:w="3389"/>
        <w:gridCol w:w="3389"/>
        <w:gridCol w:w="3389"/>
      </w:tblGrid>
      <w:tr>
        <w:tc>
          <w:tcPr>
            <w:tcW w:type="dxa" w:w="3389"/>
            <w:shd w:fill="17324D"/>
            <w:tcMar>
              <w:top w:w="100" w:type="dxa"/>
              <w:start w:w="110" w:type="dxa"/>
              <w:bottom w:w="100" w:type="dxa"/>
              <w:end w:w="110" w:type="dxa"/>
            </w:tcMar>
          </w:tcPr>
          <w:p>
            <w:pPr>
              <w:jc w:val="left"/>
            </w:pPr>
            <w:r>
              <w:rPr>
                <w:b/>
                <w:color w:val="FFFFFF"/>
                <w:sz w:val="18"/>
              </w:rPr>
              <w:t>Aika</w:t>
            </w:r>
          </w:p>
        </w:tc>
        <w:tc>
          <w:tcPr>
            <w:tcW w:type="dxa" w:w="3389"/>
            <w:shd w:fill="17324D"/>
            <w:tcMar>
              <w:top w:w="100" w:type="dxa"/>
              <w:start w:w="110" w:type="dxa"/>
              <w:bottom w:w="100" w:type="dxa"/>
              <w:end w:w="110" w:type="dxa"/>
            </w:tcMar>
          </w:tcPr>
          <w:p>
            <w:pPr>
              <w:jc w:val="left"/>
            </w:pPr>
            <w:r>
              <w:rPr>
                <w:b/>
                <w:color w:val="FFFFFF"/>
                <w:sz w:val="18"/>
              </w:rPr>
              <w:t>Tavoite</w:t>
            </w:r>
          </w:p>
        </w:tc>
        <w:tc>
          <w:tcPr>
            <w:tcW w:type="dxa" w:w="3389"/>
            <w:shd w:fill="17324D"/>
            <w:tcMar>
              <w:top w:w="100" w:type="dxa"/>
              <w:start w:w="110" w:type="dxa"/>
              <w:bottom w:w="100" w:type="dxa"/>
              <w:end w:w="110" w:type="dxa"/>
            </w:tcMar>
          </w:tcPr>
          <w:p>
            <w:pPr>
              <w:jc w:val="left"/>
            </w:pPr>
            <w:r>
              <w:rPr>
                <w:b/>
                <w:color w:val="FFFFFF"/>
                <w:sz w:val="18"/>
              </w:rPr>
              <w:t>Tuotos</w:t>
            </w:r>
          </w:p>
        </w:tc>
      </w:tr>
      <w:tr>
        <w:tc>
          <w:tcPr>
            <w:tcW w:type="dxa" w:w="3389"/>
            <w:tcMar>
              <w:top w:w="100" w:type="dxa"/>
              <w:start w:w="110" w:type="dxa"/>
              <w:bottom w:w="100" w:type="dxa"/>
              <w:end w:w="110" w:type="dxa"/>
            </w:tcMar>
          </w:tcPr>
          <w:p>
            <w:pPr>
              <w:spacing w:after="0"/>
            </w:pPr>
            <w:r>
              <w:rPr>
                <w:sz w:val="17"/>
              </w:rPr>
              <w:t>Päivät 0-14</w:t>
            </w:r>
          </w:p>
        </w:tc>
        <w:tc>
          <w:tcPr>
            <w:tcW w:type="dxa" w:w="3389"/>
            <w:tcMar>
              <w:top w:w="100" w:type="dxa"/>
              <w:start w:w="110" w:type="dxa"/>
              <w:bottom w:w="100" w:type="dxa"/>
              <w:end w:w="110" w:type="dxa"/>
            </w:tcMar>
          </w:tcPr>
          <w:p>
            <w:pPr>
              <w:spacing w:after="0"/>
            </w:pPr>
            <w:r>
              <w:rPr>
                <w:sz w:val="17"/>
              </w:rPr>
              <w:t>Sitoumukset ja toteutusryhmä</w:t>
            </w:r>
          </w:p>
        </w:tc>
        <w:tc>
          <w:tcPr>
            <w:tcW w:type="dxa" w:w="3389"/>
            <w:tcMar>
              <w:top w:w="100" w:type="dxa"/>
              <w:start w:w="110" w:type="dxa"/>
              <w:bottom w:w="100" w:type="dxa"/>
              <w:end w:w="110" w:type="dxa"/>
            </w:tcMar>
          </w:tcPr>
          <w:p>
            <w:pPr>
              <w:spacing w:after="0"/>
            </w:pPr>
            <w:r>
              <w:rPr>
                <w:sz w:val="17"/>
              </w:rPr>
              <w:t>1-3 pilottikirjastoa/-kaupunkia, kapasiteettikumppani, nimetty tekninen vastuuhenkilö</w:t>
            </w:r>
          </w:p>
        </w:tc>
      </w:tr>
      <w:tr>
        <w:tc>
          <w:tcPr>
            <w:tcW w:type="dxa" w:w="3389"/>
            <w:tcMar>
              <w:top w:w="100" w:type="dxa"/>
              <w:start w:w="110" w:type="dxa"/>
              <w:bottom w:w="100" w:type="dxa"/>
              <w:end w:w="110" w:type="dxa"/>
            </w:tcMar>
            <w:shd w:fill="F5F8FA"/>
          </w:tcPr>
          <w:p>
            <w:pPr>
              <w:spacing w:after="0"/>
            </w:pPr>
            <w:r>
              <w:rPr>
                <w:sz w:val="17"/>
              </w:rPr>
              <w:t>Päivät 7-30</w:t>
            </w:r>
          </w:p>
        </w:tc>
        <w:tc>
          <w:tcPr>
            <w:tcW w:type="dxa" w:w="3389"/>
            <w:tcMar>
              <w:top w:w="100" w:type="dxa"/>
              <w:start w:w="110" w:type="dxa"/>
              <w:bottom w:w="100" w:type="dxa"/>
              <w:end w:w="110" w:type="dxa"/>
            </w:tcMar>
            <w:shd w:fill="F5F8FA"/>
          </w:tcPr>
          <w:p>
            <w:pPr>
              <w:spacing w:after="0"/>
            </w:pPr>
            <w:r>
              <w:rPr>
                <w:sz w:val="17"/>
              </w:rPr>
              <w:t>Tekninen proof of concept</w:t>
            </w:r>
          </w:p>
        </w:tc>
        <w:tc>
          <w:tcPr>
            <w:tcW w:type="dxa" w:w="3389"/>
            <w:tcMar>
              <w:top w:w="100" w:type="dxa"/>
              <w:start w:w="110" w:type="dxa"/>
              <w:bottom w:w="100" w:type="dxa"/>
              <w:end w:w="110" w:type="dxa"/>
            </w:tcMar>
            <w:shd w:fill="F5F8FA"/>
          </w:tcPr>
          <w:p>
            <w:pPr>
              <w:spacing w:after="0"/>
            </w:pPr>
            <w:r>
              <w:rPr>
                <w:sz w:val="17"/>
              </w:rPr>
              <w:t>Toimiva endpoint, yksi malli, API-avainten luonti, quota</w:t>
            </w:r>
          </w:p>
        </w:tc>
      </w:tr>
      <w:tr>
        <w:tc>
          <w:tcPr>
            <w:tcW w:type="dxa" w:w="3389"/>
            <w:tcMar>
              <w:top w:w="100" w:type="dxa"/>
              <w:start w:w="110" w:type="dxa"/>
              <w:bottom w:w="100" w:type="dxa"/>
              <w:end w:w="110" w:type="dxa"/>
            </w:tcMar>
          </w:tcPr>
          <w:p>
            <w:pPr>
              <w:spacing w:after="0"/>
            </w:pPr>
            <w:r>
              <w:rPr>
                <w:sz w:val="17"/>
              </w:rPr>
              <w:t>Päivät 21-45</w:t>
            </w:r>
          </w:p>
        </w:tc>
        <w:tc>
          <w:tcPr>
            <w:tcW w:type="dxa" w:w="3389"/>
            <w:tcMar>
              <w:top w:w="100" w:type="dxa"/>
              <w:start w:w="110" w:type="dxa"/>
              <w:bottom w:w="100" w:type="dxa"/>
              <w:end w:w="110" w:type="dxa"/>
            </w:tcMar>
          </w:tcPr>
          <w:p>
            <w:pPr>
              <w:spacing w:after="0"/>
            </w:pPr>
            <w:r>
              <w:rPr>
                <w:sz w:val="17"/>
              </w:rPr>
              <w:t>Kirjastokortin aktivointi</w:t>
            </w:r>
          </w:p>
        </w:tc>
        <w:tc>
          <w:tcPr>
            <w:tcW w:type="dxa" w:w="3389"/>
            <w:tcMar>
              <w:top w:w="100" w:type="dxa"/>
              <w:start w:w="110" w:type="dxa"/>
              <w:bottom w:w="100" w:type="dxa"/>
              <w:end w:w="110" w:type="dxa"/>
            </w:tcMar>
          </w:tcPr>
          <w:p>
            <w:pPr>
              <w:spacing w:after="0"/>
            </w:pPr>
            <w:r>
              <w:rPr>
                <w:sz w:val="17"/>
              </w:rPr>
              <w:t>Kevyt validointi tai aktivointikoodi, käyttöehdot ja käyttäjänäkymä</w:t>
            </w:r>
          </w:p>
        </w:tc>
      </w:tr>
      <w:tr>
        <w:tc>
          <w:tcPr>
            <w:tcW w:type="dxa" w:w="3389"/>
            <w:tcMar>
              <w:top w:w="100" w:type="dxa"/>
              <w:start w:w="110" w:type="dxa"/>
              <w:bottom w:w="100" w:type="dxa"/>
              <w:end w:w="110" w:type="dxa"/>
            </w:tcMar>
            <w:shd w:fill="F5F8FA"/>
          </w:tcPr>
          <w:p>
            <w:pPr>
              <w:spacing w:after="0"/>
            </w:pPr>
            <w:r>
              <w:rPr>
                <w:sz w:val="17"/>
              </w:rPr>
              <w:t>Päivät 30-60</w:t>
            </w:r>
          </w:p>
        </w:tc>
        <w:tc>
          <w:tcPr>
            <w:tcW w:type="dxa" w:w="3389"/>
            <w:tcMar>
              <w:top w:w="100" w:type="dxa"/>
              <w:start w:w="110" w:type="dxa"/>
              <w:bottom w:w="100" w:type="dxa"/>
              <w:end w:w="110" w:type="dxa"/>
            </w:tcMar>
            <w:shd w:fill="F5F8FA"/>
          </w:tcPr>
          <w:p>
            <w:pPr>
              <w:spacing w:after="0"/>
            </w:pPr>
            <w:r>
              <w:rPr>
                <w:sz w:val="17"/>
              </w:rPr>
              <w:t>Suljettu pilotti</w:t>
            </w:r>
          </w:p>
        </w:tc>
        <w:tc>
          <w:tcPr>
            <w:tcW w:type="dxa" w:w="3389"/>
            <w:tcMar>
              <w:top w:w="100" w:type="dxa"/>
              <w:start w:w="110" w:type="dxa"/>
              <w:bottom w:w="100" w:type="dxa"/>
              <w:end w:w="110" w:type="dxa"/>
            </w:tcMar>
            <w:shd w:fill="F5F8FA"/>
          </w:tcPr>
          <w:p>
            <w:pPr>
              <w:spacing w:after="0"/>
            </w:pPr>
            <w:r>
              <w:rPr>
                <w:sz w:val="17"/>
              </w:rPr>
              <w:t>Ensimmäiset oikeat käyttäjät, analytiikka, kustannus- ja kapasiteettidata</w:t>
            </w:r>
          </w:p>
        </w:tc>
      </w:tr>
      <w:tr>
        <w:tc>
          <w:tcPr>
            <w:tcW w:type="dxa" w:w="3389"/>
            <w:tcMar>
              <w:top w:w="100" w:type="dxa"/>
              <w:start w:w="110" w:type="dxa"/>
              <w:bottom w:w="100" w:type="dxa"/>
              <w:end w:w="110" w:type="dxa"/>
            </w:tcMar>
          </w:tcPr>
          <w:p>
            <w:pPr>
              <w:spacing w:after="0"/>
            </w:pPr>
            <w:r>
              <w:rPr>
                <w:sz w:val="17"/>
              </w:rPr>
              <w:t>Päivät 45-75</w:t>
            </w:r>
          </w:p>
        </w:tc>
        <w:tc>
          <w:tcPr>
            <w:tcW w:type="dxa" w:w="3389"/>
            <w:tcMar>
              <w:top w:w="100" w:type="dxa"/>
              <w:start w:w="110" w:type="dxa"/>
              <w:bottom w:w="100" w:type="dxa"/>
              <w:end w:w="110" w:type="dxa"/>
            </w:tcMar>
          </w:tcPr>
          <w:p>
            <w:pPr>
              <w:spacing w:after="0"/>
            </w:pPr>
            <w:r>
              <w:rPr>
                <w:sz w:val="17"/>
              </w:rPr>
              <w:t>Julkinen sitoumus ja PR</w:t>
            </w:r>
          </w:p>
        </w:tc>
        <w:tc>
          <w:tcPr>
            <w:tcW w:type="dxa" w:w="3389"/>
            <w:tcMar>
              <w:top w:w="100" w:type="dxa"/>
              <w:start w:w="110" w:type="dxa"/>
              <w:bottom w:w="100" w:type="dxa"/>
              <w:end w:w="110" w:type="dxa"/>
            </w:tcMar>
          </w:tcPr>
          <w:p>
            <w:pPr>
              <w:spacing w:after="0"/>
            </w:pPr>
            <w:r>
              <w:rPr>
                <w:sz w:val="17"/>
              </w:rPr>
              <w:t>Kansallinen ja kansainvälinen tiedotus, ilmoitettu avaamispäivä</w:t>
            </w:r>
          </w:p>
        </w:tc>
      </w:tr>
      <w:tr>
        <w:tc>
          <w:tcPr>
            <w:tcW w:type="dxa" w:w="3389"/>
            <w:tcMar>
              <w:top w:w="100" w:type="dxa"/>
              <w:start w:w="110" w:type="dxa"/>
              <w:bottom w:w="100" w:type="dxa"/>
              <w:end w:w="110" w:type="dxa"/>
            </w:tcMar>
            <w:shd w:fill="F5F8FA"/>
          </w:tcPr>
          <w:p>
            <w:pPr>
              <w:spacing w:after="0"/>
            </w:pPr>
            <w:r>
              <w:rPr>
                <w:sz w:val="17"/>
              </w:rPr>
              <w:t>Päivät 60-90</w:t>
            </w:r>
          </w:p>
        </w:tc>
        <w:tc>
          <w:tcPr>
            <w:tcW w:type="dxa" w:w="3389"/>
            <w:tcMar>
              <w:top w:w="100" w:type="dxa"/>
              <w:start w:w="110" w:type="dxa"/>
              <w:bottom w:w="100" w:type="dxa"/>
              <w:end w:w="110" w:type="dxa"/>
            </w:tcMar>
            <w:shd w:fill="F5F8FA"/>
          </w:tcPr>
          <w:p>
            <w:pPr>
              <w:spacing w:after="0"/>
            </w:pPr>
            <w:r>
              <w:rPr>
                <w:sz w:val="17"/>
              </w:rPr>
              <w:t>Avoin pilotti</w:t>
            </w:r>
          </w:p>
        </w:tc>
        <w:tc>
          <w:tcPr>
            <w:tcW w:type="dxa" w:w="3389"/>
            <w:tcMar>
              <w:top w:w="100" w:type="dxa"/>
              <w:start w:w="110" w:type="dxa"/>
              <w:bottom w:w="100" w:type="dxa"/>
              <w:end w:w="110" w:type="dxa"/>
            </w:tcMar>
            <w:shd w:fill="F5F8FA"/>
          </w:tcPr>
          <w:p>
            <w:pPr>
              <w:spacing w:after="0"/>
            </w:pPr>
            <w:r>
              <w:rPr>
                <w:sz w:val="17"/>
              </w:rPr>
              <w:t>Ensimmäinen alueellinen palvelu käytössä, koulutusillat käyntiin, skaalauspäätös seuraaville alueille</w:t>
            </w:r>
          </w:p>
        </w:tc>
      </w:tr>
    </w:tbl>
    <w:p>
      <w:pPr>
        <w:spacing w:after="0"/>
      </w:pPr>
    </w:p>
    <w:p>
      <w:pPr>
        <w:pStyle w:val="Heading2"/>
      </w:pPr>
      <w:r>
        <w:t>16.1 Rinnakkaiset avaukset heti</w:t>
      </w:r>
    </w:p>
    <w:p>
      <w:r>
        <w:t>Neuvotteluja ei tarvitse tehdä jonossa. Infrastruktuuri-, kaupunki-, kirjasto- ja innovaatioverkostot voidaan avata samanaikaisesti. Se, joka pystyy etenemään nopeimmin, muodostaa ensimmäisen toteutuspolun. Muut voivat liittyä rinnalle tai kopioida toimivan mallin.</w:t>
      </w:r>
    </w:p>
    <w:p>
      <w:r>
        <w:br w:type="page"/>
      </w:r>
    </w:p>
    <w:p>
      <w:pPr>
        <w:pStyle w:val="Heading1"/>
      </w:pPr>
      <w:r>
        <w:t>17. Avoimet kysymykset</w:t>
      </w:r>
    </w:p>
    <w:p>
      <w:pPr>
        <w:pStyle w:val="Lead"/>
      </w:pPr>
      <w:r>
        <w:t>Seuraavat kysymykset on ratkaistava, mutta niiden kaikkien ei tarvitse olla valmiita ennen sitoutumista pilottiin.</w:t>
      </w:r>
    </w:p>
    <w:p>
      <w:pPr>
        <w:pStyle w:val="ListNumber"/>
        <w:spacing w:after="40"/>
      </w:pPr>
      <w:r>
        <w:t>Mikä organisaatio toimii ensimmäisen vaiheen kapasiteetti- ja operointikumppanina?</w:t>
      </w:r>
    </w:p>
    <w:p>
      <w:pPr>
        <w:pStyle w:val="ListNumber"/>
        <w:spacing w:after="40"/>
      </w:pPr>
      <w:r>
        <w:t>Mitä malleja voidaan käyttää ja millä lisenssiehdoilla?</w:t>
      </w:r>
    </w:p>
    <w:p>
      <w:pPr>
        <w:pStyle w:val="ListNumber"/>
        <w:spacing w:after="40"/>
      </w:pPr>
      <w:r>
        <w:t>Mikä on realistinen peruskäyttökiintiö kansalaista kohti?</w:t>
      </w:r>
    </w:p>
    <w:p>
      <w:pPr>
        <w:pStyle w:val="ListNumber"/>
        <w:spacing w:after="40"/>
      </w:pPr>
      <w:r>
        <w:t>Miten kirjastokortin voimassaolo tarkistetaan ensimmäisessä pilotissa mahdollisimman kevyesti?</w:t>
      </w:r>
    </w:p>
    <w:p>
      <w:pPr>
        <w:pStyle w:val="ListNumber"/>
        <w:spacing w:after="40"/>
      </w:pPr>
      <w:r>
        <w:t>Millainen tietosuojan ja teknisen lokituksen malli täyttää sekä yksityisyyden että väärinkäytön estämisen tarpeet?</w:t>
      </w:r>
    </w:p>
    <w:p>
      <w:pPr>
        <w:pStyle w:val="ListNumber"/>
        <w:spacing w:after="40"/>
      </w:pPr>
      <w:r>
        <w:t>Mitä aggregoitua dataa kerätään automaattisesti ja mitä käyttäjä voi jakaa vapaaehtoisesti?</w:t>
      </w:r>
    </w:p>
    <w:p>
      <w:pPr>
        <w:pStyle w:val="ListNumber"/>
        <w:spacing w:after="40"/>
      </w:pPr>
      <w:r>
        <w:t>Miten lisäkiintiötä haetaan tai ansaitaan?</w:t>
      </w:r>
    </w:p>
    <w:p>
      <w:pPr>
        <w:pStyle w:val="ListNumber"/>
        <w:spacing w:after="40"/>
      </w:pPr>
      <w:r>
        <w:t>Miten kustannukset jaetaan pilotin aikana kirjaston, kaupungin, valtion, EU-ohjelmien ja infrastruktuurikumppanin välillä?</w:t>
      </w:r>
    </w:p>
    <w:p>
      <w:pPr>
        <w:pStyle w:val="ListNumber"/>
        <w:spacing w:after="40"/>
      </w:pPr>
      <w:r>
        <w:t>Mihin organisaatioon palvelu sijoitetaan, jos pilotti osoittautuu toimivaksi?</w:t>
      </w:r>
    </w:p>
    <w:p>
      <w:pPr>
        <w:pStyle w:val="ListNumber"/>
        <w:spacing w:after="40"/>
      </w:pPr>
      <w:r>
        <w:t>Miten konsepti avataan muille Euroopan maille tavalla, joka säilyttää Suomen roolin ensimmäisenä referenssinä mutta ei tee mallista suljettua?</w:t>
      </w:r>
    </w:p>
    <w:p>
      <w:r>
        <w:br w:type="page"/>
      </w:r>
    </w:p>
    <w:p>
      <w:pPr>
        <w:pStyle w:val="Heading1"/>
      </w:pPr>
      <w:r>
        <w:t>18. Johtopäätös</w:t>
      </w:r>
    </w:p>
    <w:p>
      <w:pPr>
        <w:pStyle w:val="Lead"/>
      </w:pPr>
      <w:r>
        <w:t>Kirjastokortilla tekoälyä on tarkoituksella yksinkertainen ajatus. Sen voima syntyy siitä, että se yhdistää jo olemassa olevia vahvuuksia: kirjastojen luottamuksen ja saavutettavuuden, suomalaisen digitaalisen infrastruktuurin, eurooppalaisen laskentakapasiteetin, avoimien mallien kehityksen ja suuren kansallisen tarpeen nostaa AI-osaamista nopeasti.</w:t>
      </w:r>
    </w:p>
    <w:p>
      <w:r>
        <w:t>Tämän ei tarvitse alkaa suurena valtion IT-hankkeena. Ensimmäinen toimiva versio voi olla endpoint, API-avain, kohtuullinen käyttökiintiö ja kirjastokortilla tehtävä aktivointi. Sen jälkeen todelliset käyttäjät kertovat, mitä seuraavaksi kannattaa rakentaa.</w:t>
      </w:r>
    </w:p>
    <w:p>
      <w:r>
        <w:t>Jos kokeilu onnistuu, siitä voi kasvaa paljon enemmän kuin uusi kirjastopalvelu. Se voi muodostua kansalliseksi oppimis- ja kapasiteettikerrokseksi, joka vahvistaa digitaalista tasa-arvoa, suvereniteettia, paikallista osaamista, yritysten rakentamiskykyä ja Suomen asemaa eurooppalaisena käytännön AI-kehityksen edelläkävijänä.</w:t>
      </w:r>
    </w:p>
    <w:tbl>
      <w:tblPr>
        <w:tblW w:type="auto" w:w="0"/>
        <w:jc w:val="center"/>
        <w:tblLayout w:type="fixed"/>
        <w:tblLook w:firstColumn="1" w:firstRow="1" w:lastColumn="0" w:lastRow="0" w:noHBand="0" w:noVBand="1" w:val="04A0"/>
      </w:tblPr>
      <w:tblGrid>
        <w:gridCol w:w="10166"/>
      </w:tblGrid>
      <w:tr>
        <w:tc>
          <w:tcPr>
            <w:tcW w:type="dxa" w:w="9936"/>
            <w:shd w:fill="EAF5F6"/>
            <w:tcMar>
              <w:top w:w="150" w:type="dxa"/>
              <w:start w:w="180" w:type="dxa"/>
              <w:bottom w:w="150" w:type="dxa"/>
              <w:end w:w="180" w:type="dxa"/>
            </w:tcMar>
          </w:tcPr>
          <w:p>
            <w:pPr>
              <w:spacing w:after="60"/>
            </w:pPr>
            <w:r>
              <w:rPr>
                <w:b/>
                <w:color w:val="087E8B"/>
                <w:sz w:val="22"/>
              </w:rPr>
              <w:t>Ensimmäinen päätös</w:t>
            </w:r>
          </w:p>
          <w:p>
            <w:pPr>
              <w:pStyle w:val="Callout"/>
            </w:pPr>
            <w:r>
              <w:t>Ei tarvitse päättää vielä koko tulevaa järjestelmää. Tarvitaan päätös siitä, että pilotti tehdään, kuka tarjoaa ensimmäisen kapasiteetin, mikä kirjasto avaa ensimmäisen jakelukanavan ja minä päivänä ensimmäinen käyttäjä saa API-avaimensa.</w:t>
            </w:r>
          </w:p>
        </w:tc>
      </w:tr>
    </w:tbl>
    <w:p>
      <w:pPr>
        <w:spacing w:after="0"/>
      </w:pPr>
    </w:p>
    <w:p>
      <w:r>
        <w:br w:type="page"/>
      </w:r>
    </w:p>
    <w:p>
      <w:pPr>
        <w:pStyle w:val="Heading1"/>
      </w:pPr>
      <w:r>
        <w:t>Lähteet ja taustafaktat</w:t>
      </w:r>
    </w:p>
    <w:p>
      <w:pPr>
        <w:pStyle w:val="Lead"/>
      </w:pPr>
      <w:r>
        <w:t>Tämä whitepaper on ensisijaisesti konsepti- ja pilotointiehdotus. Alla olevat lähteet tukevat niitä kohtia, joissa viitataan nykyiseen kirjastolainsäädäntöön, Helmet-rakenteeseen ja LUMI/LUMI AI Factory -infrastruktuuriin.</w:t>
      </w:r>
    </w:p>
    <w:p>
      <w:pPr>
        <w:spacing w:after="40"/>
      </w:pPr>
      <w:r>
        <w:rPr>
          <w:b/>
        </w:rPr>
        <w:t>1. Laki yleisistä kirjastoista 1492/2016, erityisesti 2 §, 5 § ja 6 §.</w:t>
      </w:r>
    </w:p>
    <w:p>
      <w:pPr>
        <w:pStyle w:val="Small"/>
        <w:ind w:left="288"/>
      </w:pPr>
      <w:r>
        <w:t>https://finlex.fi/fi/lainsaadanto/2016/1492</w:t>
      </w:r>
    </w:p>
    <w:p>
      <w:pPr>
        <w:spacing w:after="40"/>
      </w:pPr>
      <w:r>
        <w:rPr>
          <w:b/>
        </w:rPr>
        <w:t>2. Helmet: pääkaupunkiseudun kirjastoverkko ja verkkokirjaston kirjautuminen kirjastokortilla ja PIN-koodilla.</w:t>
      </w:r>
    </w:p>
    <w:p>
      <w:pPr>
        <w:pStyle w:val="Small"/>
        <w:ind w:left="288"/>
      </w:pPr>
      <w:r>
        <w:t>https://helmet.finna.fi/Content/about ; https://www.espoo.fi/en/culture-and-leisure/libraries/helmet-web-library</w:t>
      </w:r>
    </w:p>
    <w:p>
      <w:pPr>
        <w:spacing w:after="40"/>
      </w:pPr>
      <w:r>
        <w:rPr>
          <w:b/>
        </w:rPr>
        <w:t>3. CSC: LUMI on Kajaanissa sijaitseva EuroHPC-yhteisyrityksen omistama supertietokone, jota isännöi 11 maan konsortio.</w:t>
      </w:r>
    </w:p>
    <w:p>
      <w:pPr>
        <w:pStyle w:val="Small"/>
        <w:ind w:left="288"/>
      </w:pPr>
      <w:r>
        <w:t>https://csc.fi/en/our-expertise/high-performance-computing/lumi-supercomputer/</w:t>
      </w:r>
    </w:p>
    <w:p>
      <w:pPr>
        <w:spacing w:after="40"/>
      </w:pPr>
      <w:r>
        <w:rPr>
          <w:b/>
        </w:rPr>
        <w:t>4. CSC: LUMI AI Factory ja LUMI-AI; ennen uuden järjestelmän käyttöönottoa AI Factory hyödyntää nykyistä LUMI-supertietokonetta.</w:t>
      </w:r>
    </w:p>
    <w:p>
      <w:pPr>
        <w:pStyle w:val="Small"/>
        <w:ind w:left="288"/>
      </w:pPr>
      <w:r>
        <w:t>https://csc.fi/en/our-expertise/high-performance-computing/lumi-ai-factory/</w:t>
      </w:r>
    </w:p>
    <w:p>
      <w:pPr>
        <w:spacing w:before="240"/>
      </w:pPr>
      <w:r>
        <w:rPr>
          <w:b/>
          <w:color w:val="087E8B"/>
        </w:rPr>
        <w:t xml:space="preserve">Ajankohtaisuus ja päätöksenteko. </w:t>
      </w:r>
      <w:r>
        <w:t>Konsepti on laadittu syksyllä 2026 tilanteessa, jossa seuraava eduskuntavaalikausi lähestyy. Whitepaper ei ota kantaa puolueisiin tai poliittisiin valintoihin; tavoite on tarjota konkreettinen, puoluerajat ylittävästi arvioitava kansallinen kokeiluehdotus.</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C667A"/>
        <w:sz w:val="16"/>
      </w:rPr>
      <w:t xml:space="preserve">Kirjastokortilla tekoälyä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17324D"/>
      <w:sz w:val="3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87E8B"/>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1732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00"/>
    </w:pPr>
    <w:rPr>
      <w:rFonts w:asciiTheme="majorHAnsi" w:eastAsiaTheme="majorEastAsia" w:hAnsiTheme="majorHAnsi" w:cstheme="majorBidi" w:ascii="Aptos" w:hAnsi="Aptos"/>
      <w:b w:val="0"/>
      <w:i/>
      <w:iCs/>
      <w:color w:val="4C667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00"/>
      <w:ind w:left="360" w:right="360"/>
    </w:pPr>
    <w:rPr>
      <w:rFonts w:ascii="Aptos" w:hAnsi="Aptos"/>
      <w:b w:val="0"/>
      <w:i/>
      <w:iCs/>
      <w:color w:val="17324D"/>
      <w:sz w:val="22"/>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00"/>
    </w:pPr>
    <w:rPr>
      <w:rFonts w:ascii="Aptos" w:hAnsi="Aptos"/>
      <w:b w:val="0"/>
      <w:bCs/>
      <w:color w:val="4C667A"/>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00" w:line="276" w:lineRule="auto"/>
    </w:pPr>
    <w:rPr>
      <w:rFonts w:ascii="Aptos" w:hAnsi="Aptos"/>
      <w:b w:val="0"/>
      <w:color w:val="17324D"/>
      <w:sz w:val="24"/>
    </w:rPr>
  </w:style>
  <w:style w:type="paragraph" w:customStyle="1" w:styleId="Callout">
    <w:name w:val="Callout"/>
    <w:pPr>
      <w:spacing w:after="100"/>
    </w:pPr>
    <w:rPr>
      <w:rFonts w:ascii="Aptos" w:hAnsi="Aptos"/>
      <w:b w:val="0"/>
      <w:color w:val="17324D"/>
      <w:sz w:val="21"/>
    </w:rPr>
  </w:style>
  <w:style w:type="paragraph" w:customStyle="1" w:styleId="Small">
    <w:name w:val="Small"/>
    <w:pPr>
      <w:spacing w:after="100"/>
    </w:pPr>
    <w:rPr>
      <w:rFonts w:ascii="Aptos" w:hAnsi="Aptos"/>
      <w:b w:val="0"/>
      <w:color w:val="4C667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Kirjastokortilla tekoälyä</dc:title>
  <dc:subject>Suvereniteettiin perustuva kansallinen AI-kapasiteettipilotti</dc:subject>
  <dc:creator/>
  <cp:keywords>tekoäly, kirjasto, kirjastokortti, AI-kapasiteetti, suvereniteetti, LUMI, pilotti</cp:keywords>
  <dc:description>generated by python-docx</dc:description>
  <cp:lastModifiedBy/>
  <cp:revision>1</cp:revision>
  <dcterms:created xsi:type="dcterms:W3CDTF">2013-12-23T23:15:00Z</dcterms:created>
  <dcterms:modified xsi:type="dcterms:W3CDTF">2013-12-23T23:15:00Z</dcterms:modified>
  <cp:category/>
</cp:coreProperties>
</file>